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F696B" w:rsidP="00DF696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F696B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2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DE24CC">
        <w:rPr>
          <w:b/>
          <w:color w:val="000000"/>
          <w:szCs w:val="28"/>
        </w:rPr>
        <w:t>Дмитровогорского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DE24CC">
        <w:rPr>
          <w:color w:val="000000"/>
          <w:szCs w:val="28"/>
        </w:rPr>
        <w:t>Дмитровогорского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DE24CC">
        <w:rPr>
          <w:color w:val="000000"/>
          <w:szCs w:val="28"/>
        </w:rPr>
        <w:t>Дмитровогорского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DE24CC">
        <w:rPr>
          <w:color w:val="000000"/>
          <w:szCs w:val="28"/>
        </w:rPr>
        <w:t>Дмитровогорского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004A8F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DF696B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DF696B" w:rsidRPr="00DF696B">
                    <w:rPr>
                      <w:sz w:val="24"/>
                      <w:szCs w:val="28"/>
                    </w:rPr>
                    <w:t>5</w:t>
                  </w:r>
                  <w:r w:rsidR="00DF696B" w:rsidRPr="00DF696B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DF696B" w:rsidRPr="00DF696B">
                    <w:rPr>
                      <w:sz w:val="24"/>
                      <w:szCs w:val="28"/>
                    </w:rPr>
                    <w:t>/</w:t>
                  </w:r>
                  <w:r w:rsidR="00DF696B" w:rsidRPr="00DF696B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DF696B" w:rsidRPr="00DF696B">
                    <w:rPr>
                      <w:sz w:val="24"/>
                      <w:szCs w:val="28"/>
                    </w:rPr>
                    <w:t>2-5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DE24CC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Дмитровогорского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8B73EC" w:rsidRDefault="00DE24CC" w:rsidP="00CD203C">
            <w:pPr>
              <w:pStyle w:val="12"/>
              <w:rPr>
                <w:sz w:val="24"/>
                <w:szCs w:val="24"/>
              </w:rPr>
            </w:pPr>
            <w:r w:rsidRPr="002B425E">
              <w:rPr>
                <w:sz w:val="28"/>
                <w:szCs w:val="24"/>
              </w:rPr>
              <w:t>Дмитровогорский</w:t>
            </w:r>
            <w:r w:rsidR="00C055CB" w:rsidRPr="002B425E">
              <w:rPr>
                <w:sz w:val="28"/>
                <w:szCs w:val="24"/>
              </w:rPr>
              <w:t xml:space="preserve"> десятимандатный избирательный округ</w:t>
            </w:r>
          </w:p>
        </w:tc>
        <w:tc>
          <w:tcPr>
            <w:tcW w:w="2693" w:type="dxa"/>
          </w:tcPr>
          <w:p w:rsidR="0023549A" w:rsidRPr="00040680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450DAB">
              <w:rPr>
                <w:b/>
                <w:sz w:val="24"/>
                <w:szCs w:val="24"/>
                <w:u w:val="single"/>
              </w:rPr>
              <w:t>Центр</w:t>
            </w:r>
            <w:r w:rsidRPr="00450DAB">
              <w:rPr>
                <w:b/>
                <w:sz w:val="24"/>
                <w:szCs w:val="24"/>
              </w:rPr>
              <w:t xml:space="preserve"> – </w:t>
            </w:r>
            <w:r w:rsidR="00DE24CC">
              <w:rPr>
                <w:b/>
                <w:sz w:val="24"/>
                <w:szCs w:val="24"/>
              </w:rPr>
              <w:t>с. Дмитрова Гора</w:t>
            </w:r>
          </w:p>
          <w:p w:rsidR="00A01705" w:rsidRPr="00A01705" w:rsidRDefault="00D151F4" w:rsidP="00A01705">
            <w:pPr>
              <w:pStyle w:val="15"/>
              <w:jc w:val="both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Границы: </w:t>
            </w:r>
            <w:r w:rsidR="00A01705" w:rsidRPr="00A0170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СЕЛО</w:t>
            </w:r>
            <w:r w:rsidR="00A01705">
              <w:t>:</w:t>
            </w:r>
            <w:r w:rsidR="00A01705" w:rsidRPr="00390E91">
              <w:t xml:space="preserve"> </w:t>
            </w:r>
            <w:r w:rsidR="00A01705" w:rsidRPr="00A01705">
              <w:rPr>
                <w:rFonts w:ascii="Times New Roman" w:hAnsi="Times New Roman" w:cs="Times New Roman"/>
                <w:sz w:val="28"/>
              </w:rPr>
              <w:t>ДМИТРОВА ГОРА</w:t>
            </w:r>
          </w:p>
          <w:p w:rsidR="00233946" w:rsidRPr="00E41B1E" w:rsidRDefault="00A01705" w:rsidP="00A01705">
            <w:pPr>
              <w:pStyle w:val="af1"/>
              <w:jc w:val="left"/>
              <w:rPr>
                <w:sz w:val="24"/>
              </w:rPr>
            </w:pPr>
            <w:r w:rsidRPr="00A01705">
              <w:rPr>
                <w:b/>
                <w:bCs/>
              </w:rPr>
              <w:t>ДЕРЕВНИ</w:t>
            </w:r>
            <w:r w:rsidRPr="00A01705">
              <w:t>:</w:t>
            </w:r>
            <w:r w:rsidRPr="00390E91">
              <w:t xml:space="preserve"> АРХАНГЕЛЬСКОЕ, ВЕРХАНОВО, ВОРОНУХА, КОЛОДКИНО, КОРОВИНО, КУВАЛДИНО, МАЛОЕ НОВОСЕЛЬЕ, МИШИНО, НИЖНИЕ ВЫСЕЛКИ, НИКОЛЬСКОЕ, НОВОЕ ДОМКИНО, НОВОЕ ЗАВРАЖЬЕ, ОБУХОВО, ПЕНЬЕ, СЕНИНСКОЕ, СПИРИДОВО, СТАРОЕ </w:t>
            </w:r>
            <w:r w:rsidRPr="00390E91">
              <w:lastRenderedPageBreak/>
              <w:t xml:space="preserve">ДОМКИНО, СТАРОЕ </w:t>
            </w:r>
            <w:r w:rsidRPr="00390E91">
              <w:rPr>
                <w:caps/>
              </w:rPr>
              <w:t>Завражье, федоровское</w:t>
            </w:r>
            <w:r w:rsidRPr="00390E91">
              <w:t>, ФРОЛОВО, ЮРЕНЕВО, ЮРЬЕВО</w:t>
            </w:r>
          </w:p>
        </w:tc>
        <w:tc>
          <w:tcPr>
            <w:tcW w:w="1559" w:type="dxa"/>
          </w:tcPr>
          <w:p w:rsidR="0023549A" w:rsidRPr="00450DAB" w:rsidRDefault="008F2872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8F2872">
              <w:rPr>
                <w:b/>
                <w:sz w:val="28"/>
                <w:szCs w:val="24"/>
              </w:rPr>
              <w:lastRenderedPageBreak/>
              <w:t>1422</w:t>
            </w:r>
          </w:p>
        </w:tc>
        <w:tc>
          <w:tcPr>
            <w:tcW w:w="1417" w:type="dxa"/>
          </w:tcPr>
          <w:p w:rsidR="0023549A" w:rsidRPr="008B73EC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8F2872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8B73EC" w:rsidRDefault="002B425E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549A"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>
              <w:rPr>
                <w:sz w:val="24"/>
                <w:szCs w:val="24"/>
              </w:rPr>
              <w:t>Конаковского</w:t>
            </w:r>
            <w:r w:rsidR="0023549A" w:rsidRPr="008B73EC">
              <w:rPr>
                <w:sz w:val="24"/>
                <w:szCs w:val="24"/>
              </w:rPr>
              <w:t xml:space="preserve"> района,</w:t>
            </w:r>
          </w:p>
          <w:p w:rsidR="0023549A" w:rsidRPr="008B73EC" w:rsidRDefault="0023549A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 w:rsidR="00C055CB">
              <w:rPr>
                <w:sz w:val="24"/>
                <w:szCs w:val="24"/>
              </w:rPr>
              <w:t>Конаково</w:t>
            </w:r>
          </w:p>
        </w:tc>
      </w:tr>
    </w:tbl>
    <w:p w:rsidR="00DE24CC" w:rsidRDefault="00DE24CC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DE24CC" w:rsidRDefault="00DE24CC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DF696B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DF696B">
              <w:rPr>
                <w:sz w:val="24"/>
                <w:szCs w:val="28"/>
              </w:rPr>
              <w:t>5</w:t>
            </w:r>
            <w:r w:rsidRPr="00DF696B">
              <w:rPr>
                <w:sz w:val="24"/>
                <w:szCs w:val="28"/>
                <w:lang w:val="en-US"/>
              </w:rPr>
              <w:t>9</w:t>
            </w:r>
            <w:r w:rsidRPr="00DF696B">
              <w:rPr>
                <w:sz w:val="24"/>
                <w:szCs w:val="28"/>
              </w:rPr>
              <w:t>/</w:t>
            </w:r>
            <w:r w:rsidRPr="00DF696B">
              <w:rPr>
                <w:sz w:val="24"/>
                <w:szCs w:val="28"/>
                <w:lang w:val="en-US"/>
              </w:rPr>
              <w:t>30</w:t>
            </w:r>
            <w:r w:rsidRPr="00DF696B">
              <w:rPr>
                <w:sz w:val="24"/>
                <w:szCs w:val="28"/>
              </w:rPr>
              <w:t>2-5</w:t>
            </w:r>
            <w:r w:rsidR="001537EC" w:rsidRPr="00C055CB">
              <w:rPr>
                <w:sz w:val="24"/>
                <w:szCs w:val="28"/>
              </w:rPr>
              <w:t xml:space="preserve"> 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DE24CC">
        <w:rPr>
          <w:b/>
          <w:sz w:val="28"/>
          <w:szCs w:val="28"/>
        </w:rPr>
        <w:t>Дмитровогорского</w:t>
      </w:r>
      <w:r w:rsidR="00C055CB">
        <w:rPr>
          <w:b/>
          <w:sz w:val="28"/>
          <w:szCs w:val="28"/>
        </w:rPr>
        <w:t xml:space="preserve">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DE24CC">
        <w:rPr>
          <w:b/>
          <w:color w:val="000000"/>
          <w:sz w:val="28"/>
          <w:szCs w:val="28"/>
        </w:rPr>
        <w:t>Дмитровогорского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164B63" w:rsidRDefault="00EC476A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544060" cy="5849167"/>
            <wp:effectExtent l="19050" t="0" r="8890" b="0"/>
            <wp:docPr id="5" name="Рисунок 4" descr="Дмитровогор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итровогорско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58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C7E4B" w:rsidRPr="00164B63" w:rsidRDefault="001C7E4B" w:rsidP="001C7E4B">
      <w:pPr>
        <w:tabs>
          <w:tab w:val="left" w:pos="5529"/>
          <w:tab w:val="left" w:pos="8505"/>
        </w:tabs>
        <w:ind w:right="-5"/>
        <w:jc w:val="both"/>
        <w:rPr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BE" w:rsidRDefault="00AA39BE" w:rsidP="00F71BAD">
      <w:r>
        <w:separator/>
      </w:r>
    </w:p>
  </w:endnote>
  <w:endnote w:type="continuationSeparator" w:id="0">
    <w:p w:rsidR="00AA39BE" w:rsidRDefault="00AA39B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BE" w:rsidRDefault="00AA39BE" w:rsidP="00F71BAD">
      <w:r>
        <w:separator/>
      </w:r>
    </w:p>
  </w:footnote>
  <w:footnote w:type="continuationSeparator" w:id="0">
    <w:p w:rsidR="00AA39BE" w:rsidRDefault="00AA39B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004A8F">
    <w:pPr>
      <w:pStyle w:val="a7"/>
      <w:jc w:val="center"/>
    </w:pPr>
    <w:fldSimple w:instr=" PAGE   \* MERGEFORMAT ">
      <w:r w:rsidR="00DF696B">
        <w:rPr>
          <w:noProof/>
        </w:rPr>
        <w:t>4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4A8F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425E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D377D"/>
    <w:rsid w:val="004E0370"/>
    <w:rsid w:val="004E14D9"/>
    <w:rsid w:val="004E46B8"/>
    <w:rsid w:val="00510EB0"/>
    <w:rsid w:val="005168A8"/>
    <w:rsid w:val="00517B78"/>
    <w:rsid w:val="0053479C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31EE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1D61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B46E8"/>
    <w:rsid w:val="007C3C9A"/>
    <w:rsid w:val="007C571B"/>
    <w:rsid w:val="007D6DC7"/>
    <w:rsid w:val="007E01D6"/>
    <w:rsid w:val="007F25DE"/>
    <w:rsid w:val="008155D9"/>
    <w:rsid w:val="00822A30"/>
    <w:rsid w:val="00825AA3"/>
    <w:rsid w:val="008279D0"/>
    <w:rsid w:val="00842182"/>
    <w:rsid w:val="0084713B"/>
    <w:rsid w:val="00856EF6"/>
    <w:rsid w:val="008601DF"/>
    <w:rsid w:val="00860513"/>
    <w:rsid w:val="00866CD8"/>
    <w:rsid w:val="00881F2D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872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B7EA9"/>
    <w:rsid w:val="009C3EC7"/>
    <w:rsid w:val="009D10CE"/>
    <w:rsid w:val="009D61FA"/>
    <w:rsid w:val="009E4BA9"/>
    <w:rsid w:val="009E5EF5"/>
    <w:rsid w:val="009F54F4"/>
    <w:rsid w:val="009F7E7D"/>
    <w:rsid w:val="00A01705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A39BE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32F6C"/>
    <w:rsid w:val="00B46E02"/>
    <w:rsid w:val="00B50D9C"/>
    <w:rsid w:val="00B55374"/>
    <w:rsid w:val="00B73C72"/>
    <w:rsid w:val="00B8269A"/>
    <w:rsid w:val="00B8417E"/>
    <w:rsid w:val="00B86527"/>
    <w:rsid w:val="00BA1AE9"/>
    <w:rsid w:val="00BA3950"/>
    <w:rsid w:val="00BA5C4E"/>
    <w:rsid w:val="00BA7080"/>
    <w:rsid w:val="00BB15ED"/>
    <w:rsid w:val="00BD392B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51F4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72943"/>
    <w:rsid w:val="00D7782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24CC"/>
    <w:rsid w:val="00DE352B"/>
    <w:rsid w:val="00DF43C2"/>
    <w:rsid w:val="00DF696B"/>
    <w:rsid w:val="00E02697"/>
    <w:rsid w:val="00E176C2"/>
    <w:rsid w:val="00E41B1E"/>
    <w:rsid w:val="00E43D26"/>
    <w:rsid w:val="00E545DD"/>
    <w:rsid w:val="00E55D0D"/>
    <w:rsid w:val="00E74B84"/>
    <w:rsid w:val="00EB568E"/>
    <w:rsid w:val="00EB573F"/>
    <w:rsid w:val="00EC2F19"/>
    <w:rsid w:val="00EC3B22"/>
    <w:rsid w:val="00EC476A"/>
    <w:rsid w:val="00EC4924"/>
    <w:rsid w:val="00EC615B"/>
    <w:rsid w:val="00ED7AA8"/>
    <w:rsid w:val="00EE53CB"/>
    <w:rsid w:val="00EE6CEE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character" w:customStyle="1" w:styleId="13">
    <w:name w:val="Основной шрифт абзаца1"/>
    <w:rsid w:val="00A01705"/>
  </w:style>
  <w:style w:type="paragraph" w:customStyle="1" w:styleId="15">
    <w:name w:val="Текст1"/>
    <w:basedOn w:val="a"/>
    <w:rsid w:val="00A01705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E54C-4A07-4BBC-B07E-54C52384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9</cp:revision>
  <cp:lastPrinted>2022-10-03T11:18:00Z</cp:lastPrinted>
  <dcterms:created xsi:type="dcterms:W3CDTF">2022-09-20T08:04:00Z</dcterms:created>
  <dcterms:modified xsi:type="dcterms:W3CDTF">2022-10-03T11:18:00Z</dcterms:modified>
</cp:coreProperties>
</file>