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25703F" w:rsidP="00F54A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F54A9A">
              <w:rPr>
                <w:rFonts w:ascii="Times New Roman" w:hAnsi="Times New Roman"/>
                <w:bCs/>
                <w:sz w:val="28"/>
              </w:rPr>
              <w:t>2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A03B82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51/258-5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BB45F7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D67AA7">
        <w:rPr>
          <w:b/>
        </w:rPr>
        <w:t xml:space="preserve">Совета депутатов </w:t>
      </w:r>
      <w:r w:rsidR="00F54A9A">
        <w:rPr>
          <w:b/>
        </w:rPr>
        <w:t xml:space="preserve">сельского </w:t>
      </w:r>
      <w:r w:rsidR="00D67AA7">
        <w:rPr>
          <w:b/>
        </w:rPr>
        <w:t xml:space="preserve">поселения </w:t>
      </w:r>
      <w:r w:rsidR="00F54A9A">
        <w:rPr>
          <w:b/>
        </w:rPr>
        <w:t>«Завидово»</w:t>
      </w:r>
      <w:r w:rsidR="00795CF4">
        <w:rPr>
          <w:b/>
        </w:rPr>
        <w:t xml:space="preserve"> Конаковского муниципального района Тверской области</w:t>
      </w:r>
      <w:r w:rsidR="00D67AA7">
        <w:rPr>
          <w:b/>
        </w:rPr>
        <w:t xml:space="preserve"> </w:t>
      </w:r>
      <w:r w:rsidR="00F54A9A">
        <w:rPr>
          <w:b/>
        </w:rPr>
        <w:t>третьего</w:t>
      </w:r>
      <w:r w:rsidR="00D67AA7">
        <w:rPr>
          <w:b/>
        </w:rPr>
        <w:t xml:space="preserve"> созыва по </w:t>
      </w:r>
      <w:r w:rsidR="00F54A9A">
        <w:rPr>
          <w:b/>
        </w:rPr>
        <w:t>многомандатному (десятимандатному) избирательному округу «Завидово» номер один</w:t>
      </w:r>
      <w:r w:rsidR="004B5DBE">
        <w:rPr>
          <w:b/>
        </w:rPr>
        <w:t xml:space="preserve"> 1</w:t>
      </w:r>
      <w:r w:rsidR="00F54A9A">
        <w:rPr>
          <w:b/>
        </w:rPr>
        <w:t>1</w:t>
      </w:r>
      <w:r w:rsidR="004B5DBE">
        <w:rPr>
          <w:b/>
        </w:rPr>
        <w:t xml:space="preserve"> сентября 202</w:t>
      </w:r>
      <w:r w:rsidR="00F54A9A">
        <w:rPr>
          <w:b/>
        </w:rPr>
        <w:t>2</w:t>
      </w:r>
      <w:r w:rsidR="00D67AA7">
        <w:rPr>
          <w:b/>
        </w:rPr>
        <w:t xml:space="preserve"> года</w:t>
      </w:r>
      <w:r>
        <w:rPr>
          <w:b/>
        </w:rPr>
        <w:t xml:space="preserve"> </w:t>
      </w:r>
    </w:p>
    <w:p w:rsidR="00BB45F7" w:rsidRDefault="00BB45F7" w:rsidP="00BB45F7">
      <w:pPr>
        <w:rPr>
          <w:b/>
        </w:rPr>
      </w:pPr>
    </w:p>
    <w:p w:rsidR="00951679" w:rsidRDefault="00F54A9A" w:rsidP="00BB45F7">
      <w:pPr>
        <w:tabs>
          <w:tab w:val="num" w:pos="0"/>
        </w:tabs>
        <w:ind w:firstLine="709"/>
        <w:jc w:val="both"/>
        <w:rPr>
          <w:b/>
          <w:spacing w:val="40"/>
          <w:szCs w:val="28"/>
        </w:rPr>
      </w:pPr>
      <w:r>
        <w:t>На основании статьи 22</w:t>
      </w:r>
      <w:r w:rsidR="00951679">
        <w:t>, пунктов 3</w:t>
      </w:r>
      <w:r w:rsidR="00951679" w:rsidRPr="00922D9A">
        <w:rPr>
          <w:vertAlign w:val="superscript"/>
        </w:rPr>
        <w:t>1</w:t>
      </w:r>
      <w:r w:rsidR="00951679">
        <w:t xml:space="preserve"> и 4 статьи 60 Избирательного кодекса Тверской области, </w:t>
      </w:r>
      <w:r>
        <w:rPr>
          <w:szCs w:val="28"/>
        </w:rPr>
        <w:t>постановления</w:t>
      </w:r>
      <w:r w:rsidRPr="001C3FCD">
        <w:rPr>
          <w:szCs w:val="28"/>
        </w:rPr>
        <w:t xml:space="preserve"> избирательной комиссии Тверской области </w:t>
      </w:r>
      <w:r w:rsidRPr="001C3FCD">
        <w:rPr>
          <w:bCs/>
          <w:szCs w:val="28"/>
        </w:rPr>
        <w:t xml:space="preserve">от </w:t>
      </w:r>
      <w:r>
        <w:rPr>
          <w:bCs/>
          <w:szCs w:val="28"/>
        </w:rPr>
        <w:t>22</w:t>
      </w:r>
      <w:r w:rsidRPr="001C3FCD">
        <w:rPr>
          <w:bCs/>
          <w:szCs w:val="28"/>
        </w:rPr>
        <w:t>.</w:t>
      </w:r>
      <w:r>
        <w:rPr>
          <w:bCs/>
          <w:szCs w:val="28"/>
        </w:rPr>
        <w:t>04</w:t>
      </w:r>
      <w:r w:rsidRPr="001C3FCD">
        <w:rPr>
          <w:bCs/>
          <w:szCs w:val="28"/>
        </w:rPr>
        <w:t>.</w:t>
      </w:r>
      <w:r>
        <w:rPr>
          <w:bCs/>
          <w:szCs w:val="28"/>
        </w:rPr>
        <w:t>2022</w:t>
      </w:r>
      <w:r w:rsidRPr="001C3FCD">
        <w:rPr>
          <w:bCs/>
          <w:szCs w:val="28"/>
        </w:rPr>
        <w:t xml:space="preserve"> г. № </w:t>
      </w:r>
      <w:r w:rsidRPr="00474FCE">
        <w:rPr>
          <w:color w:val="000000"/>
          <w:szCs w:val="28"/>
        </w:rPr>
        <w:t>6</w:t>
      </w:r>
      <w:r>
        <w:rPr>
          <w:color w:val="000000"/>
          <w:szCs w:val="28"/>
        </w:rPr>
        <w:t>2</w:t>
      </w:r>
      <w:r w:rsidRPr="00474FCE">
        <w:rPr>
          <w:color w:val="000000"/>
          <w:szCs w:val="28"/>
        </w:rPr>
        <w:t>/7</w:t>
      </w:r>
      <w:r>
        <w:rPr>
          <w:color w:val="000000"/>
          <w:szCs w:val="28"/>
        </w:rPr>
        <w:t>20</w:t>
      </w:r>
      <w:r w:rsidRPr="00474FCE">
        <w:rPr>
          <w:color w:val="000000"/>
          <w:szCs w:val="28"/>
        </w:rPr>
        <w:t>-7</w:t>
      </w:r>
      <w:r w:rsidRPr="001C3FCD">
        <w:rPr>
          <w:bCs/>
          <w:szCs w:val="28"/>
        </w:rPr>
        <w:t xml:space="preserve"> «</w:t>
      </w:r>
      <w:r w:rsidRPr="00D7478F">
        <w:t xml:space="preserve">О возложении исполнения полномочий </w:t>
      </w:r>
      <w:r w:rsidRPr="00D7478F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Pr="00D7478F">
        <w:rPr>
          <w:szCs w:val="28"/>
        </w:rPr>
        <w:br/>
        <w:t>Конаковского района</w:t>
      </w:r>
      <w:r w:rsidRPr="001C3FCD">
        <w:rPr>
          <w:bCs/>
          <w:szCs w:val="28"/>
        </w:rPr>
        <w:t>»,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r w:rsidR="00951679">
        <w:rPr>
          <w:szCs w:val="26"/>
        </w:rPr>
        <w:t>Конаковского</w:t>
      </w:r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Default="00AF5C24" w:rsidP="00BB45F7">
      <w:pPr>
        <w:numPr>
          <w:ilvl w:val="0"/>
          <w:numId w:val="1"/>
        </w:numPr>
        <w:tabs>
          <w:tab w:val="clear" w:pos="1440"/>
          <w:tab w:val="num" w:pos="0"/>
        </w:tabs>
        <w:spacing w:line="288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выборах депутатов Совета депутатов </w:t>
      </w:r>
      <w:r w:rsidR="00507360">
        <w:t>сельского поселения «Завидово»</w:t>
      </w:r>
      <w:r w:rsidR="00F900AC">
        <w:t xml:space="preserve"> </w:t>
      </w:r>
      <w:r w:rsidR="00795CF4">
        <w:t>Конаковского муниципального района Тверской области</w:t>
      </w:r>
      <w:r w:rsidR="00F900AC">
        <w:t xml:space="preserve"> </w:t>
      </w:r>
      <w:r w:rsidR="00507360">
        <w:t>третьего</w:t>
      </w:r>
      <w:r w:rsidR="00951679">
        <w:t xml:space="preserve"> созыва</w:t>
      </w:r>
      <w:r w:rsidR="00F900AC">
        <w:t xml:space="preserve"> по </w:t>
      </w:r>
      <w:r w:rsidR="00507360">
        <w:t>многомандатному (десятимандатному) избирательному округу «Завидово» номер один</w:t>
      </w:r>
      <w:r w:rsidR="00951679">
        <w:t xml:space="preserve"> (приложение № 1).</w:t>
      </w:r>
    </w:p>
    <w:p w:rsidR="00951679" w:rsidRDefault="00951679" w:rsidP="00BB45F7">
      <w:pPr>
        <w:numPr>
          <w:ilvl w:val="0"/>
          <w:numId w:val="1"/>
        </w:numPr>
        <w:tabs>
          <w:tab w:val="clear" w:pos="1440"/>
          <w:tab w:val="num" w:pos="0"/>
        </w:tabs>
        <w:spacing w:line="288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507360">
        <w:t xml:space="preserve"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 </w:t>
      </w:r>
      <w:r>
        <w:t xml:space="preserve">(приложение № </w:t>
      </w:r>
      <w:r w:rsidR="00AF5C24">
        <w:t>2</w:t>
      </w:r>
      <w:r>
        <w:t>).</w:t>
      </w:r>
    </w:p>
    <w:p w:rsidR="00085CE5" w:rsidRDefault="00085CE5" w:rsidP="00BB45F7">
      <w:pPr>
        <w:pStyle w:val="a8"/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p w:rsidR="00BB45F7" w:rsidRPr="002658CA" w:rsidRDefault="00BB45F7" w:rsidP="00BB45F7">
      <w:pPr>
        <w:pStyle w:val="a8"/>
        <w:spacing w:line="288" w:lineRule="auto"/>
        <w:ind w:left="709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C274F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A031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4B5DBE" w:rsidP="0050736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5703F">
              <w:rPr>
                <w:sz w:val="24"/>
              </w:rPr>
              <w:t>3</w:t>
            </w:r>
            <w:r w:rsidR="00F900AC" w:rsidRPr="008A3CC9">
              <w:rPr>
                <w:sz w:val="24"/>
              </w:rPr>
              <w:t>.08.20</w:t>
            </w:r>
            <w:r w:rsidR="00795CF4">
              <w:rPr>
                <w:sz w:val="24"/>
              </w:rPr>
              <w:t>2</w:t>
            </w:r>
            <w:r w:rsidR="00507360">
              <w:rPr>
                <w:sz w:val="24"/>
              </w:rPr>
              <w:t>2</w:t>
            </w:r>
            <w:r w:rsidR="00951679" w:rsidRPr="008A3CC9">
              <w:rPr>
                <w:sz w:val="24"/>
              </w:rPr>
              <w:t xml:space="preserve"> года № </w:t>
            </w:r>
            <w:r w:rsidR="00A03B82" w:rsidRPr="00A03B82">
              <w:rPr>
                <w:sz w:val="24"/>
                <w:szCs w:val="28"/>
              </w:rPr>
              <w:t>51/258-5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507360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сельского поселения «Завидово»</w:t>
            </w:r>
            <w:r w:rsidR="00795CF4">
              <w:rPr>
                <w:b/>
                <w:sz w:val="24"/>
                <w:szCs w:val="20"/>
              </w:rPr>
              <w:t xml:space="preserve"> Конаковского муниципального района Тверской области</w:t>
            </w:r>
            <w:r w:rsidR="00F900AC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третьего</w:t>
            </w:r>
            <w:r w:rsidR="00F900AC"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507360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2022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507360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многомандатный (десятимандатный) избирательный округ «Завидово» номер один</w:t>
            </w:r>
          </w:p>
          <w:p w:rsidR="00951679" w:rsidRPr="00991F95" w:rsidRDefault="00951679" w:rsidP="004E6501">
            <w:pPr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4B5DBE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tbl>
            <w:tblPr>
              <w:tblW w:w="103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6"/>
            </w:tblGrid>
            <w:tr w:rsidR="004B5DBE" w:rsidRPr="00B80A59" w:rsidTr="00247411">
              <w:tc>
                <w:tcPr>
                  <w:tcW w:w="10326" w:type="dxa"/>
                  <w:tcBorders>
                    <w:bottom w:val="single" w:sz="12" w:space="0" w:color="auto"/>
                  </w:tcBorders>
                </w:tcPr>
                <w:p w:rsidR="004B5DBE" w:rsidRPr="00B80A59" w:rsidRDefault="004B5DBE" w:rsidP="004B5DBE">
                  <w:pPr>
                    <w:pStyle w:val="a3"/>
                    <w:spacing w:after="0"/>
                    <w:ind w:left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</w:t>
                  </w:r>
                  <w:r w:rsidRPr="00B80A59">
                    <w:rPr>
                      <w:i/>
                      <w:sz w:val="24"/>
                    </w:rPr>
                    <w:t xml:space="preserve">Поставьте любой знак в пустом квадрате справа от фамилии не более чем </w:t>
                  </w:r>
                  <w:r w:rsidR="00507360">
                    <w:rPr>
                      <w:i/>
                      <w:sz w:val="24"/>
                    </w:rPr>
                    <w:t>десяти</w:t>
                  </w:r>
                  <w:r w:rsidRPr="00B80A59">
                    <w:rPr>
                      <w:i/>
                      <w:sz w:val="24"/>
                    </w:rPr>
                    <w:t xml:space="preserve"> зарегистрированн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кандидат</w:t>
                  </w:r>
                  <w:r>
                    <w:rPr>
                      <w:i/>
                      <w:sz w:val="24"/>
                    </w:rPr>
                    <w:t>ов</w:t>
                  </w:r>
                  <w:r w:rsidRPr="00B80A59">
                    <w:rPr>
                      <w:i/>
                      <w:sz w:val="24"/>
                    </w:rPr>
                    <w:t>, в пользу котор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сделан выбор</w:t>
                  </w:r>
                  <w:r w:rsidRPr="00B80A59">
                    <w:rPr>
                      <w:sz w:val="24"/>
                    </w:rPr>
                    <w:t>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507360">
                    <w:rPr>
                      <w:rFonts w:ascii="Times New Roman" w:hAnsi="Times New Roman"/>
                      <w:i/>
                      <w:szCs w:val="24"/>
                    </w:rPr>
                    <w:t>десяти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квадрат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ах,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либо не проставлен ни в одном из них, считается недействительным.</w:t>
                  </w:r>
                </w:p>
                <w:p w:rsidR="004B5DBE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      </w:r>
                </w:p>
                <w:p w:rsidR="004E6501" w:rsidRPr="004E6501" w:rsidRDefault="004E6501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4E6501"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В целях защиты тайны голосования избирателя, избирательный бюллетень рекомендуется складывать лицевой стороной внутрь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.</w:t>
                  </w:r>
                </w:p>
              </w:tc>
            </w:tr>
          </w:tbl>
          <w:p w:rsidR="004B5DBE" w:rsidRDefault="004B5DBE"/>
        </w:tc>
      </w:tr>
      <w:tr w:rsidR="00951679" w:rsidRPr="000055E4" w:rsidTr="00C056B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>с указанием наименования соответствующей политической партии, иного  общественного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B82333" w:rsidP="00873155">
            <w:pPr>
              <w:spacing w:after="120"/>
              <w:rPr>
                <w:i/>
              </w:rPr>
            </w:pPr>
            <w:r w:rsidRPr="00B82333">
              <w:rPr>
                <w:b/>
                <w:i/>
                <w:noProof/>
                <w:sz w:val="24"/>
              </w:rPr>
              <w:pict>
                <v:rect id="Rectangle 3" o:spid="_x0000_s1026" style="position:absolute;left:0;text-align:left;margin-left:-.35pt;margin-top:125.5pt;width:25.8pt;height:26.7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B82333" w:rsidP="00873155">
            <w:pPr>
              <w:spacing w:after="120"/>
              <w:rPr>
                <w:b/>
                <w:i/>
                <w:noProof/>
              </w:rPr>
            </w:pPr>
            <w:r w:rsidRPr="00B82333"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795CF4" w:rsidRDefault="00795CF4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03145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4B5DBE" w:rsidP="00893C14">
            <w:r>
              <w:t xml:space="preserve">от </w:t>
            </w:r>
            <w:r w:rsidR="0025703F">
              <w:t>3</w:t>
            </w:r>
            <w:r w:rsidR="00C122FF">
              <w:t xml:space="preserve"> </w:t>
            </w:r>
            <w:r w:rsidR="002B5041">
              <w:t>августа 20</w:t>
            </w:r>
            <w:r>
              <w:t>2</w:t>
            </w:r>
            <w:r w:rsidR="00893C14">
              <w:t>2</w:t>
            </w:r>
            <w:r w:rsidR="00873155">
              <w:t xml:space="preserve"> года №</w:t>
            </w:r>
            <w:r w:rsidR="009D1075">
              <w:t xml:space="preserve"> </w:t>
            </w:r>
            <w:r w:rsidR="00A03B82" w:rsidRPr="00A03B82">
              <w:rPr>
                <w:sz w:val="24"/>
                <w:szCs w:val="28"/>
              </w:rPr>
              <w:t>51/258-5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депутатов </w:t>
      </w:r>
      <w:r w:rsidR="00893C14">
        <w:rPr>
          <w:b/>
        </w:rPr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 11 сентября 2022 года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 xml:space="preserve">выборах депутатов </w:t>
      </w:r>
      <w:r w:rsidR="00893C14"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4B60BB">
        <w:rPr>
          <w:sz w:val="28"/>
          <w:szCs w:val="28"/>
        </w:rPr>
        <w:t>297х42</w:t>
      </w:r>
      <w:r w:rsidR="00680C47">
        <w:rPr>
          <w:sz w:val="28"/>
          <w:szCs w:val="28"/>
        </w:rPr>
        <w:t xml:space="preserve">0 </w:t>
      </w:r>
      <w:r w:rsidR="00A82B0B">
        <w:rPr>
          <w:sz w:val="28"/>
          <w:szCs w:val="28"/>
        </w:rPr>
        <w:t xml:space="preserve">мм. </w:t>
      </w:r>
      <w:r w:rsidR="004B60BB">
        <w:rPr>
          <w:sz w:val="28"/>
          <w:szCs w:val="28"/>
        </w:rPr>
        <w:t>(формат А3</w:t>
      </w:r>
      <w:r w:rsidR="00680C47">
        <w:rPr>
          <w:sz w:val="28"/>
          <w:szCs w:val="28"/>
        </w:rPr>
        <w:t>)</w:t>
      </w:r>
      <w:r w:rsidR="002B5041">
        <w:rPr>
          <w:sz w:val="28"/>
          <w:szCs w:val="28"/>
        </w:rPr>
        <w:t xml:space="preserve">. 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4B60BB">
        <w:rPr>
          <w:sz w:val="28"/>
        </w:rPr>
        <w:t>синего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lastRenderedPageBreak/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FC5DB1" w:rsidP="004B60BB">
      <w:pPr>
        <w:spacing w:line="360" w:lineRule="auto"/>
        <w:ind w:firstLine="709"/>
        <w:jc w:val="both"/>
        <w:rPr>
          <w:b/>
          <w:szCs w:val="26"/>
        </w:rPr>
      </w:pPr>
      <w:r w:rsidRPr="00E6597C"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  <w:bookmarkStart w:id="0" w:name="_GoBack"/>
      <w:bookmarkEnd w:id="0"/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4E" w:rsidRDefault="00793A4E">
      <w:r>
        <w:separator/>
      </w:r>
    </w:p>
  </w:endnote>
  <w:endnote w:type="continuationSeparator" w:id="0">
    <w:p w:rsidR="00793A4E" w:rsidRDefault="0079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4E" w:rsidRDefault="00793A4E">
      <w:r>
        <w:separator/>
      </w:r>
    </w:p>
  </w:footnote>
  <w:footnote w:type="continuationSeparator" w:id="0">
    <w:p w:rsidR="00793A4E" w:rsidRDefault="0079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B82333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C3DBE"/>
    <w:rsid w:val="003D22BD"/>
    <w:rsid w:val="003D4D80"/>
    <w:rsid w:val="003E050A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B60BB"/>
    <w:rsid w:val="004C25FE"/>
    <w:rsid w:val="004C552B"/>
    <w:rsid w:val="004D0EF9"/>
    <w:rsid w:val="004D5F25"/>
    <w:rsid w:val="004E3D9B"/>
    <w:rsid w:val="004E6501"/>
    <w:rsid w:val="004F317C"/>
    <w:rsid w:val="004F36E9"/>
    <w:rsid w:val="00507360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3A4E"/>
    <w:rsid w:val="0079541E"/>
    <w:rsid w:val="00795AA1"/>
    <w:rsid w:val="00795CF4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C14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3B82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2333"/>
    <w:rsid w:val="00B84738"/>
    <w:rsid w:val="00B903EA"/>
    <w:rsid w:val="00B9120E"/>
    <w:rsid w:val="00B92AC5"/>
    <w:rsid w:val="00BA1BF4"/>
    <w:rsid w:val="00BB0BB4"/>
    <w:rsid w:val="00BB423F"/>
    <w:rsid w:val="00BB45F7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49A8"/>
    <w:rsid w:val="00F07190"/>
    <w:rsid w:val="00F073D4"/>
    <w:rsid w:val="00F102DF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4A9A"/>
    <w:rsid w:val="00F56796"/>
    <w:rsid w:val="00F71A2F"/>
    <w:rsid w:val="00F7229A"/>
    <w:rsid w:val="00F77A5C"/>
    <w:rsid w:val="00F80B20"/>
    <w:rsid w:val="00F85012"/>
    <w:rsid w:val="00F900AC"/>
    <w:rsid w:val="00F9548C"/>
    <w:rsid w:val="00FC4881"/>
    <w:rsid w:val="00FC5DB1"/>
    <w:rsid w:val="00FE00B5"/>
    <w:rsid w:val="00FE4BD7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1932-2653-4642-8BBE-6966DC3E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2022-08-02T06:51:00Z</cp:lastPrinted>
  <dcterms:created xsi:type="dcterms:W3CDTF">2022-08-01T12:46:00Z</dcterms:created>
  <dcterms:modified xsi:type="dcterms:W3CDTF">2022-08-02T06:51:00Z</dcterms:modified>
</cp:coreProperties>
</file>