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0E" w:rsidRPr="009644B4" w:rsidRDefault="0054640E" w:rsidP="000E78A1">
      <w:pPr>
        <w:jc w:val="center"/>
        <w:outlineLvl w:val="0"/>
        <w:rPr>
          <w:b/>
          <w:color w:val="000000"/>
          <w:spacing w:val="-8"/>
          <w:sz w:val="28"/>
          <w:szCs w:val="27"/>
        </w:rPr>
      </w:pPr>
      <w:r w:rsidRPr="009644B4">
        <w:rPr>
          <w:b/>
          <w:color w:val="000000"/>
          <w:spacing w:val="-8"/>
          <w:sz w:val="28"/>
          <w:szCs w:val="27"/>
        </w:rPr>
        <w:t>ТЕРРИТОРИАЛЬНАЯ И</w:t>
      </w:r>
      <w:r w:rsidR="00CD747E" w:rsidRPr="009644B4">
        <w:rPr>
          <w:b/>
          <w:color w:val="000000"/>
          <w:spacing w:val="-8"/>
          <w:sz w:val="28"/>
          <w:szCs w:val="27"/>
        </w:rPr>
        <w:t>ЗБИРАТЕЛЬНАЯ КОМИССИЯ</w:t>
      </w:r>
      <w:r w:rsidRPr="009644B4">
        <w:rPr>
          <w:b/>
          <w:color w:val="000000"/>
          <w:spacing w:val="-8"/>
          <w:sz w:val="28"/>
          <w:szCs w:val="27"/>
        </w:rPr>
        <w:t xml:space="preserve"> </w:t>
      </w:r>
    </w:p>
    <w:p w:rsidR="00CD747E" w:rsidRPr="009644B4" w:rsidRDefault="00AA1FAF" w:rsidP="000E78A1">
      <w:pPr>
        <w:jc w:val="center"/>
        <w:outlineLvl w:val="0"/>
        <w:rPr>
          <w:b/>
          <w:color w:val="000000"/>
          <w:spacing w:val="-8"/>
          <w:sz w:val="28"/>
          <w:szCs w:val="27"/>
        </w:rPr>
      </w:pPr>
      <w:r w:rsidRPr="009644B4">
        <w:rPr>
          <w:b/>
          <w:color w:val="000000"/>
          <w:spacing w:val="-8"/>
          <w:sz w:val="28"/>
          <w:szCs w:val="27"/>
        </w:rPr>
        <w:t>КОНАКОВСКОГО</w:t>
      </w:r>
      <w:r w:rsidR="0054640E" w:rsidRPr="009644B4">
        <w:rPr>
          <w:b/>
          <w:color w:val="000000"/>
          <w:spacing w:val="-8"/>
          <w:sz w:val="28"/>
          <w:szCs w:val="27"/>
        </w:rPr>
        <w:t xml:space="preserve"> РАЙОНА</w:t>
      </w:r>
      <w:r w:rsidR="00EE67AC" w:rsidRPr="009644B4">
        <w:rPr>
          <w:b/>
          <w:color w:val="000000"/>
          <w:spacing w:val="-8"/>
          <w:sz w:val="28"/>
          <w:szCs w:val="27"/>
        </w:rPr>
        <w:t xml:space="preserve"> </w:t>
      </w:r>
      <w:r w:rsidRPr="009644B4">
        <w:rPr>
          <w:b/>
          <w:color w:val="000000"/>
          <w:spacing w:val="-8"/>
          <w:sz w:val="28"/>
          <w:szCs w:val="27"/>
        </w:rPr>
        <w:t>ТВЕРСК</w:t>
      </w:r>
      <w:r w:rsidR="00EE67AC" w:rsidRPr="009644B4">
        <w:rPr>
          <w:b/>
          <w:color w:val="000000"/>
          <w:spacing w:val="-8"/>
          <w:sz w:val="28"/>
          <w:szCs w:val="27"/>
        </w:rPr>
        <w:t>ОЙ ОБЛАСТИ</w:t>
      </w:r>
    </w:p>
    <w:p w:rsidR="00EE67AC" w:rsidRPr="00742300" w:rsidRDefault="00EE67AC" w:rsidP="00CD747E">
      <w:pPr>
        <w:jc w:val="center"/>
        <w:rPr>
          <w:b/>
          <w:color w:val="000000"/>
          <w:spacing w:val="-8"/>
          <w:sz w:val="27"/>
          <w:szCs w:val="27"/>
        </w:rPr>
      </w:pPr>
    </w:p>
    <w:p w:rsidR="00CD747E" w:rsidRPr="009644B4" w:rsidRDefault="00C63C4B" w:rsidP="000E78A1">
      <w:pPr>
        <w:jc w:val="center"/>
        <w:outlineLvl w:val="0"/>
        <w:rPr>
          <w:b/>
          <w:color w:val="000000"/>
          <w:spacing w:val="-8"/>
          <w:sz w:val="28"/>
          <w:szCs w:val="27"/>
        </w:rPr>
      </w:pPr>
      <w:r w:rsidRPr="009644B4">
        <w:rPr>
          <w:b/>
          <w:color w:val="000000"/>
          <w:spacing w:val="-8"/>
          <w:sz w:val="28"/>
          <w:szCs w:val="27"/>
        </w:rPr>
        <w:t>П О С Т А Н О В Л Е Н И Е</w:t>
      </w:r>
    </w:p>
    <w:p w:rsidR="00AA1FAF" w:rsidRPr="00742300" w:rsidRDefault="00AA1FAF" w:rsidP="00CD747E">
      <w:pPr>
        <w:jc w:val="center"/>
        <w:rPr>
          <w:b/>
          <w:color w:val="000000"/>
          <w:spacing w:val="-8"/>
          <w:sz w:val="27"/>
          <w:szCs w:val="27"/>
        </w:rPr>
      </w:pPr>
    </w:p>
    <w:tbl>
      <w:tblPr>
        <w:tblW w:w="946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CD747E" w:rsidRPr="005E2027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CD747E" w:rsidRPr="005E2027" w:rsidRDefault="00B36A05" w:rsidP="00AA1F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  <w:lang w:val="en-US"/>
              </w:rPr>
              <w:t xml:space="preserve">18 </w:t>
            </w:r>
            <w:r w:rsidR="009644B4">
              <w:rPr>
                <w:sz w:val="28"/>
                <w:szCs w:val="20"/>
              </w:rPr>
              <w:t>июля 2021</w:t>
            </w:r>
            <w:r w:rsidR="00AA1FAF" w:rsidRPr="00AA1FAF">
              <w:rPr>
                <w:sz w:val="28"/>
                <w:szCs w:val="20"/>
              </w:rPr>
              <w:t xml:space="preserve"> года</w:t>
            </w:r>
          </w:p>
        </w:tc>
        <w:tc>
          <w:tcPr>
            <w:tcW w:w="3682" w:type="dxa"/>
          </w:tcPr>
          <w:p w:rsidR="00CD747E" w:rsidRPr="005E2027" w:rsidRDefault="00CD747E" w:rsidP="003B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4"/>
          </w:tcPr>
          <w:p w:rsidR="00CD747E" w:rsidRPr="005E2027" w:rsidRDefault="00CD747E" w:rsidP="009644B4">
            <w:pPr>
              <w:jc w:val="both"/>
              <w:rPr>
                <w:sz w:val="20"/>
                <w:szCs w:val="20"/>
              </w:rPr>
            </w:pPr>
            <w:r w:rsidRPr="00FA1062">
              <w:rPr>
                <w:sz w:val="28"/>
                <w:szCs w:val="20"/>
              </w:rPr>
              <w:t>№</w:t>
            </w:r>
            <w:r w:rsidRPr="005E2027">
              <w:rPr>
                <w:sz w:val="20"/>
                <w:szCs w:val="20"/>
              </w:rPr>
              <w:t xml:space="preserve"> </w:t>
            </w:r>
            <w:r w:rsidR="00FA1062">
              <w:rPr>
                <w:sz w:val="20"/>
                <w:szCs w:val="20"/>
              </w:rPr>
              <w:t xml:space="preserve"> </w:t>
            </w:r>
            <w:r w:rsidR="00B36A05">
              <w:rPr>
                <w:sz w:val="28"/>
                <w:szCs w:val="28"/>
                <w:lang w:val="en-US"/>
              </w:rPr>
              <w:t>5/44-5</w:t>
            </w:r>
          </w:p>
        </w:tc>
      </w:tr>
      <w:tr w:rsidR="00CD747E" w:rsidRPr="005E2027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CD747E" w:rsidRPr="005E2027" w:rsidRDefault="00CD747E" w:rsidP="003B22D8">
            <w:pPr>
              <w:jc w:val="center"/>
              <w:rPr>
                <w:i/>
                <w:sz w:val="20"/>
                <w:szCs w:val="20"/>
              </w:rPr>
            </w:pPr>
            <w:r w:rsidRPr="005E2027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D747E" w:rsidRPr="005E2027" w:rsidRDefault="00AA1FAF" w:rsidP="003B22D8">
            <w:pPr>
              <w:jc w:val="center"/>
              <w:rPr>
                <w:sz w:val="20"/>
                <w:szCs w:val="20"/>
              </w:rPr>
            </w:pPr>
            <w:r w:rsidRPr="00AA1FAF">
              <w:rPr>
                <w:szCs w:val="20"/>
              </w:rPr>
              <w:t>г. Конаково</w:t>
            </w:r>
          </w:p>
        </w:tc>
        <w:tc>
          <w:tcPr>
            <w:tcW w:w="236" w:type="dxa"/>
          </w:tcPr>
          <w:p w:rsidR="00CD747E" w:rsidRPr="005E2027" w:rsidRDefault="00CD747E" w:rsidP="003B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D747E" w:rsidRPr="005E2027" w:rsidRDefault="00CD747E" w:rsidP="003B22D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7" w:type="dxa"/>
          </w:tcPr>
          <w:p w:rsidR="00CD747E" w:rsidRPr="005E2027" w:rsidRDefault="00CD747E" w:rsidP="003B22D8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CD747E" w:rsidRPr="005E2027">
        <w:trPr>
          <w:jc w:val="center"/>
        </w:trPr>
        <w:tc>
          <w:tcPr>
            <w:tcW w:w="3122" w:type="dxa"/>
          </w:tcPr>
          <w:p w:rsidR="00CD747E" w:rsidRPr="005E2027" w:rsidRDefault="00CD747E" w:rsidP="003B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CD747E" w:rsidRPr="005E2027" w:rsidRDefault="00CD747E" w:rsidP="003B22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gridSpan w:val="4"/>
          </w:tcPr>
          <w:p w:rsidR="00CD747E" w:rsidRPr="005E2027" w:rsidRDefault="00CD747E" w:rsidP="003B22D8">
            <w:pPr>
              <w:jc w:val="right"/>
              <w:rPr>
                <w:sz w:val="20"/>
                <w:szCs w:val="20"/>
              </w:rPr>
            </w:pPr>
          </w:p>
        </w:tc>
      </w:tr>
    </w:tbl>
    <w:p w:rsidR="00CD747E" w:rsidRPr="00742300" w:rsidRDefault="00CD747E" w:rsidP="00CD747E">
      <w:pPr>
        <w:jc w:val="center"/>
        <w:rPr>
          <w:b/>
          <w:sz w:val="27"/>
          <w:szCs w:val="27"/>
        </w:rPr>
      </w:pPr>
    </w:p>
    <w:p w:rsidR="009D0303" w:rsidRPr="00AA1FAF" w:rsidRDefault="009D0303" w:rsidP="009D0303">
      <w:pPr>
        <w:ind w:firstLine="709"/>
        <w:jc w:val="center"/>
        <w:rPr>
          <w:b/>
          <w:sz w:val="28"/>
          <w:szCs w:val="28"/>
        </w:rPr>
      </w:pPr>
      <w:r w:rsidRPr="00AA1FAF">
        <w:rPr>
          <w:b/>
          <w:sz w:val="28"/>
          <w:szCs w:val="28"/>
        </w:rPr>
        <w:t xml:space="preserve">О назначении ответственного лица, обеспечивающего организацию работы </w:t>
      </w:r>
      <w:r w:rsidR="00AA1FAF">
        <w:rPr>
          <w:b/>
          <w:sz w:val="28"/>
          <w:szCs w:val="28"/>
        </w:rPr>
        <w:t>т</w:t>
      </w:r>
      <w:r w:rsidRPr="00AA1FAF">
        <w:rPr>
          <w:b/>
          <w:sz w:val="28"/>
          <w:szCs w:val="28"/>
        </w:rPr>
        <w:t xml:space="preserve">ерриториальной избирательной комиссии </w:t>
      </w:r>
      <w:r w:rsidR="00AA1FAF" w:rsidRPr="00AA1FAF">
        <w:rPr>
          <w:b/>
          <w:sz w:val="28"/>
          <w:szCs w:val="28"/>
        </w:rPr>
        <w:t>Конаковского района Тверской</w:t>
      </w:r>
      <w:r w:rsidRPr="00AA1FAF">
        <w:rPr>
          <w:b/>
          <w:sz w:val="28"/>
          <w:szCs w:val="28"/>
        </w:rPr>
        <w:t xml:space="preserve"> области по осуществлению закупок товаров, работ, услуг при проведении выборов </w:t>
      </w:r>
      <w:r w:rsidR="000E78A1" w:rsidRPr="000E78A1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</w:p>
    <w:p w:rsidR="00CD747E" w:rsidRPr="00AA1FAF" w:rsidRDefault="00CD747E" w:rsidP="00CD747E">
      <w:pPr>
        <w:ind w:firstLine="709"/>
        <w:jc w:val="both"/>
        <w:rPr>
          <w:sz w:val="28"/>
          <w:szCs w:val="28"/>
        </w:rPr>
      </w:pPr>
    </w:p>
    <w:p w:rsidR="00742300" w:rsidRPr="00AA1FAF" w:rsidRDefault="00CD747E" w:rsidP="007423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1FAF">
        <w:rPr>
          <w:sz w:val="28"/>
          <w:szCs w:val="28"/>
        </w:rPr>
        <w:t>На основании статей 26, 57 Федерального закона</w:t>
      </w:r>
      <w:r w:rsidR="009644B4">
        <w:rPr>
          <w:sz w:val="28"/>
          <w:szCs w:val="28"/>
        </w:rPr>
        <w:t xml:space="preserve"> от 12.06.2002 </w:t>
      </w:r>
      <w:r w:rsidR="009644B4">
        <w:rPr>
          <w:sz w:val="28"/>
          <w:szCs w:val="28"/>
        </w:rPr>
        <w:br/>
        <w:t>№ 67-ФЗ</w:t>
      </w:r>
      <w:r w:rsidRPr="00AA1FA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 w:rsidR="009644B4">
        <w:rPr>
          <w:sz w:val="28"/>
          <w:szCs w:val="28"/>
        </w:rPr>
        <w:t>и статей 30</w:t>
      </w:r>
      <w:r w:rsidR="009644B4" w:rsidRPr="006F1E20">
        <w:rPr>
          <w:sz w:val="28"/>
          <w:szCs w:val="28"/>
        </w:rPr>
        <w:t>, 70</w:t>
      </w:r>
      <w:r w:rsidR="009644B4">
        <w:rPr>
          <w:sz w:val="28"/>
          <w:szCs w:val="28"/>
        </w:rPr>
        <w:t>, 76</w:t>
      </w:r>
      <w:r w:rsidR="009644B4" w:rsidRPr="006F1E20">
        <w:rPr>
          <w:sz w:val="28"/>
          <w:szCs w:val="28"/>
        </w:rPr>
        <w:t xml:space="preserve"> Федерального закона</w:t>
      </w:r>
      <w:r w:rsidR="009644B4">
        <w:rPr>
          <w:sz w:val="28"/>
          <w:szCs w:val="28"/>
        </w:rPr>
        <w:t xml:space="preserve"> от 22.02.2014 № </w:t>
      </w:r>
      <w:r w:rsidR="009644B4" w:rsidRPr="006F1E20">
        <w:rPr>
          <w:sz w:val="28"/>
          <w:szCs w:val="28"/>
        </w:rPr>
        <w:t>20-ФЗ «О выборах</w:t>
      </w:r>
      <w:r w:rsidR="009644B4" w:rsidRPr="00F33082">
        <w:rPr>
          <w:color w:val="FF0000"/>
          <w:sz w:val="28"/>
          <w:szCs w:val="28"/>
        </w:rPr>
        <w:t xml:space="preserve"> </w:t>
      </w:r>
      <w:r w:rsidR="009644B4" w:rsidRPr="006F1E20">
        <w:rPr>
          <w:sz w:val="28"/>
          <w:szCs w:val="28"/>
        </w:rPr>
        <w:t>депутат</w:t>
      </w:r>
      <w:r w:rsidR="009644B4">
        <w:rPr>
          <w:sz w:val="28"/>
          <w:szCs w:val="28"/>
        </w:rPr>
        <w:t>ов</w:t>
      </w:r>
      <w:r w:rsidR="009644B4" w:rsidRPr="006F1E20">
        <w:rPr>
          <w:sz w:val="28"/>
          <w:szCs w:val="28"/>
        </w:rPr>
        <w:t xml:space="preserve"> Государственной Думы Федерального Собрания Российской Федерации»</w:t>
      </w:r>
      <w:r w:rsidR="009644B4">
        <w:rPr>
          <w:sz w:val="28"/>
          <w:szCs w:val="28"/>
        </w:rPr>
        <w:t>,</w:t>
      </w:r>
      <w:r w:rsidRPr="00AA1FAF">
        <w:rPr>
          <w:sz w:val="28"/>
          <w:szCs w:val="28"/>
        </w:rPr>
        <w:t>, пункта 3.</w:t>
      </w:r>
      <w:r w:rsidR="0085684C" w:rsidRPr="00AA1FAF">
        <w:rPr>
          <w:sz w:val="28"/>
          <w:szCs w:val="28"/>
        </w:rPr>
        <w:t>3</w:t>
      </w:r>
      <w:r w:rsidRPr="00AA1FAF">
        <w:rPr>
          <w:sz w:val="28"/>
          <w:szCs w:val="28"/>
        </w:rPr>
        <w:t xml:space="preserve"> Порядка осуществления закупок товаров, работ</w:t>
      </w:r>
      <w:r w:rsidR="009D0303" w:rsidRPr="00AA1FAF">
        <w:rPr>
          <w:sz w:val="28"/>
          <w:szCs w:val="28"/>
        </w:rPr>
        <w:t>,</w:t>
      </w:r>
      <w:r w:rsidRPr="00AA1FAF">
        <w:rPr>
          <w:sz w:val="28"/>
          <w:szCs w:val="28"/>
        </w:rPr>
        <w:t xml:space="preserve">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</w:t>
      </w:r>
      <w:r w:rsidR="009D0303" w:rsidRPr="00AA1FAF">
        <w:rPr>
          <w:sz w:val="28"/>
          <w:szCs w:val="28"/>
        </w:rPr>
        <w:t xml:space="preserve">при проведении выборов </w:t>
      </w:r>
      <w:r w:rsidRPr="00AA1FAF">
        <w:rPr>
          <w:sz w:val="28"/>
          <w:szCs w:val="28"/>
        </w:rPr>
        <w:t>в федеральные органы</w:t>
      </w:r>
      <w:r w:rsidR="009D0303" w:rsidRPr="00AA1FAF">
        <w:rPr>
          <w:sz w:val="28"/>
          <w:szCs w:val="28"/>
        </w:rPr>
        <w:t xml:space="preserve"> государственной</w:t>
      </w:r>
      <w:r w:rsidRPr="00AA1FAF">
        <w:rPr>
          <w:sz w:val="28"/>
          <w:szCs w:val="28"/>
        </w:rPr>
        <w:t xml:space="preserve"> власти, утвержденного постановлением Центральной избирательной комиссии Российской Федерации </w:t>
      </w:r>
      <w:r w:rsidR="009644B4" w:rsidRPr="007D7D99">
        <w:rPr>
          <w:color w:val="000000"/>
          <w:sz w:val="28"/>
          <w:szCs w:val="28"/>
          <w:shd w:val="clear" w:color="auto" w:fill="FFFFFF"/>
        </w:rPr>
        <w:t>от 03.02.2021 №</w:t>
      </w:r>
      <w:r w:rsidR="009644B4" w:rsidRPr="000E6D87">
        <w:rPr>
          <w:color w:val="000000"/>
          <w:sz w:val="28"/>
          <w:szCs w:val="28"/>
          <w:shd w:val="clear" w:color="auto" w:fill="FFFFFF"/>
        </w:rPr>
        <w:t xml:space="preserve"> </w:t>
      </w:r>
      <w:r w:rsidR="009644B4" w:rsidRPr="007D7D99">
        <w:rPr>
          <w:color w:val="000000"/>
          <w:sz w:val="28"/>
          <w:szCs w:val="28"/>
          <w:shd w:val="clear" w:color="auto" w:fill="FFFFFF"/>
        </w:rPr>
        <w:t>282/2070-7</w:t>
      </w:r>
      <w:r w:rsidR="00AA1FAF">
        <w:rPr>
          <w:sz w:val="28"/>
          <w:szCs w:val="28"/>
        </w:rPr>
        <w:t>,</w:t>
      </w:r>
      <w:r w:rsidR="00742300" w:rsidRPr="00AA1FAF">
        <w:rPr>
          <w:sz w:val="28"/>
          <w:szCs w:val="28"/>
        </w:rPr>
        <w:t xml:space="preserve"> </w:t>
      </w:r>
      <w:r w:rsidR="00AA1FAF">
        <w:rPr>
          <w:sz w:val="28"/>
          <w:szCs w:val="28"/>
        </w:rPr>
        <w:t>т</w:t>
      </w:r>
      <w:r w:rsidR="00742300" w:rsidRPr="00AA1FAF">
        <w:rPr>
          <w:sz w:val="28"/>
          <w:szCs w:val="28"/>
        </w:rPr>
        <w:t xml:space="preserve">ерриториальная избирательная комиссия </w:t>
      </w:r>
      <w:r w:rsidR="00AA1FAF" w:rsidRPr="00AA1FAF">
        <w:rPr>
          <w:sz w:val="28"/>
          <w:szCs w:val="28"/>
        </w:rPr>
        <w:t>Конаковского района Тверской</w:t>
      </w:r>
      <w:r w:rsidR="00742300" w:rsidRPr="00AA1FAF">
        <w:rPr>
          <w:sz w:val="28"/>
          <w:szCs w:val="28"/>
        </w:rPr>
        <w:t xml:space="preserve"> области </w:t>
      </w:r>
      <w:r w:rsidR="00C63C4B" w:rsidRPr="00AA1FAF">
        <w:rPr>
          <w:b/>
          <w:sz w:val="28"/>
          <w:szCs w:val="28"/>
        </w:rPr>
        <w:t>п о с т а н о в и л а</w:t>
      </w:r>
      <w:r w:rsidR="00742300" w:rsidRPr="00AA1FAF">
        <w:rPr>
          <w:b/>
          <w:sz w:val="28"/>
          <w:szCs w:val="28"/>
        </w:rPr>
        <w:t>:</w:t>
      </w:r>
    </w:p>
    <w:p w:rsidR="00CD747E" w:rsidRDefault="00742300" w:rsidP="007423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1FAF">
        <w:rPr>
          <w:sz w:val="28"/>
          <w:szCs w:val="28"/>
        </w:rPr>
        <w:t>1.</w:t>
      </w:r>
      <w:r w:rsidR="009D0303" w:rsidRPr="00AA1FAF">
        <w:rPr>
          <w:sz w:val="28"/>
          <w:szCs w:val="28"/>
        </w:rPr>
        <w:t> </w:t>
      </w:r>
      <w:r w:rsidRPr="00AA1FAF">
        <w:rPr>
          <w:sz w:val="28"/>
          <w:szCs w:val="28"/>
        </w:rPr>
        <w:t>Н</w:t>
      </w:r>
      <w:r w:rsidR="00CD747E" w:rsidRPr="00AA1FAF">
        <w:rPr>
          <w:sz w:val="28"/>
          <w:szCs w:val="28"/>
        </w:rPr>
        <w:t xml:space="preserve">азначить </w:t>
      </w:r>
      <w:r w:rsidR="009644B4">
        <w:rPr>
          <w:sz w:val="28"/>
          <w:szCs w:val="28"/>
        </w:rPr>
        <w:t>Холодову Татьяну Сергеевну</w:t>
      </w:r>
      <w:r w:rsidR="00EE67AC" w:rsidRPr="00AA1FAF">
        <w:rPr>
          <w:sz w:val="28"/>
          <w:szCs w:val="28"/>
        </w:rPr>
        <w:t xml:space="preserve">, </w:t>
      </w:r>
      <w:r w:rsidR="00AA1FAF">
        <w:rPr>
          <w:sz w:val="28"/>
          <w:szCs w:val="28"/>
        </w:rPr>
        <w:t>члена т</w:t>
      </w:r>
      <w:r w:rsidR="008D3ABF" w:rsidRPr="00AA1FAF">
        <w:rPr>
          <w:sz w:val="28"/>
          <w:szCs w:val="28"/>
        </w:rPr>
        <w:t xml:space="preserve">ерриториальной избирательной комиссии </w:t>
      </w:r>
      <w:r w:rsidR="00AA1FAF" w:rsidRPr="00AA1FAF">
        <w:rPr>
          <w:sz w:val="28"/>
          <w:szCs w:val="28"/>
        </w:rPr>
        <w:t>Конаковского района Тверской</w:t>
      </w:r>
      <w:r w:rsidR="008D3ABF" w:rsidRPr="00AA1FAF">
        <w:rPr>
          <w:sz w:val="28"/>
          <w:szCs w:val="28"/>
        </w:rPr>
        <w:t xml:space="preserve"> области</w:t>
      </w:r>
      <w:r w:rsidR="005E2027" w:rsidRPr="00AA1FAF">
        <w:rPr>
          <w:sz w:val="28"/>
          <w:szCs w:val="28"/>
        </w:rPr>
        <w:t xml:space="preserve"> с правом решающего голоса</w:t>
      </w:r>
      <w:r w:rsidR="00EE67AC" w:rsidRPr="00AA1FAF">
        <w:rPr>
          <w:sz w:val="28"/>
          <w:szCs w:val="28"/>
        </w:rPr>
        <w:t>,</w:t>
      </w:r>
      <w:r w:rsidR="00CD747E" w:rsidRPr="00AA1FAF">
        <w:rPr>
          <w:sz w:val="28"/>
          <w:szCs w:val="28"/>
        </w:rPr>
        <w:t xml:space="preserve"> ответственным лицом, обеспечивающим организацию работы </w:t>
      </w:r>
      <w:r w:rsidR="00AA1FAF">
        <w:rPr>
          <w:sz w:val="28"/>
          <w:szCs w:val="28"/>
        </w:rPr>
        <w:t>т</w:t>
      </w:r>
      <w:r w:rsidR="008D3ABF" w:rsidRPr="00AA1FAF">
        <w:rPr>
          <w:sz w:val="28"/>
          <w:szCs w:val="28"/>
        </w:rPr>
        <w:t xml:space="preserve">ерриториальной избирательной комиссии </w:t>
      </w:r>
      <w:r w:rsidR="00AA1FAF" w:rsidRPr="00AA1FAF">
        <w:rPr>
          <w:sz w:val="28"/>
          <w:szCs w:val="28"/>
        </w:rPr>
        <w:t>Конаковского района Тверской</w:t>
      </w:r>
      <w:r w:rsidR="008D3ABF" w:rsidRPr="00AA1FAF">
        <w:rPr>
          <w:sz w:val="28"/>
          <w:szCs w:val="28"/>
        </w:rPr>
        <w:t xml:space="preserve"> области </w:t>
      </w:r>
      <w:r w:rsidR="005D111F" w:rsidRPr="00AA1FAF">
        <w:rPr>
          <w:sz w:val="28"/>
          <w:szCs w:val="28"/>
        </w:rPr>
        <w:t>п</w:t>
      </w:r>
      <w:r w:rsidR="009D0303" w:rsidRPr="00AA1FAF">
        <w:rPr>
          <w:sz w:val="28"/>
          <w:szCs w:val="28"/>
        </w:rPr>
        <w:t>о</w:t>
      </w:r>
      <w:r w:rsidR="00CD747E" w:rsidRPr="00AA1FAF">
        <w:rPr>
          <w:sz w:val="28"/>
          <w:szCs w:val="28"/>
        </w:rPr>
        <w:t xml:space="preserve"> осуществлени</w:t>
      </w:r>
      <w:r w:rsidR="009D0303" w:rsidRPr="00AA1FAF">
        <w:rPr>
          <w:sz w:val="28"/>
          <w:szCs w:val="28"/>
        </w:rPr>
        <w:t>ю</w:t>
      </w:r>
      <w:r w:rsidR="00CD747E" w:rsidRPr="00AA1FAF">
        <w:rPr>
          <w:sz w:val="28"/>
          <w:szCs w:val="28"/>
        </w:rPr>
        <w:t xml:space="preserve"> закупок товаров, работ, услуг при </w:t>
      </w:r>
      <w:r w:rsidR="009644B4" w:rsidRPr="00223EAD">
        <w:rPr>
          <w:sz w:val="28"/>
          <w:szCs w:val="28"/>
        </w:rPr>
        <w:t xml:space="preserve"> подготовке и проведении </w:t>
      </w:r>
      <w:r w:rsidR="009644B4" w:rsidRPr="00223EAD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776ABF" w:rsidRPr="00AA1FAF">
        <w:rPr>
          <w:sz w:val="28"/>
          <w:szCs w:val="28"/>
        </w:rPr>
        <w:t>.</w:t>
      </w:r>
    </w:p>
    <w:tbl>
      <w:tblPr>
        <w:tblW w:w="9486" w:type="dxa"/>
        <w:tblLook w:val="0000"/>
      </w:tblPr>
      <w:tblGrid>
        <w:gridCol w:w="4195"/>
        <w:gridCol w:w="2491"/>
        <w:gridCol w:w="2800"/>
      </w:tblGrid>
      <w:tr w:rsidR="00AA1FAF" w:rsidRPr="0096076F" w:rsidTr="000E78A1">
        <w:trPr>
          <w:trHeight w:val="1120"/>
        </w:trPr>
        <w:tc>
          <w:tcPr>
            <w:tcW w:w="4195" w:type="dxa"/>
            <w:tcBorders>
              <w:top w:val="nil"/>
              <w:left w:val="nil"/>
              <w:right w:val="nil"/>
            </w:tcBorders>
            <w:vAlign w:val="bottom"/>
          </w:tcPr>
          <w:p w:rsidR="00AA1FAF" w:rsidRDefault="00AA1FAF" w:rsidP="00EA2C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A1FAF" w:rsidRDefault="00AA1FAF" w:rsidP="00EA2C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A1FAF" w:rsidRPr="003A4B31" w:rsidRDefault="00AA1FAF" w:rsidP="00EA2C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  <w:vAlign w:val="bottom"/>
          </w:tcPr>
          <w:p w:rsidR="00AA1FAF" w:rsidRPr="006B4ED6" w:rsidRDefault="00AA1FAF" w:rsidP="00EA2C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bottom"/>
          </w:tcPr>
          <w:p w:rsidR="00AA1FAF" w:rsidRPr="0096076F" w:rsidRDefault="00AA1FAF" w:rsidP="00EA2C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A1FAF" w:rsidRPr="00301BDD" w:rsidTr="000E78A1">
        <w:trPr>
          <w:trHeight w:val="137"/>
        </w:trPr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AA1FAF" w:rsidRDefault="00AA1FAF" w:rsidP="00EA2C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A1FAF" w:rsidRPr="00301BDD" w:rsidRDefault="00AA1FAF" w:rsidP="00EA2C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91" w:type="dxa"/>
            <w:tcBorders>
              <w:left w:val="nil"/>
              <w:right w:val="nil"/>
            </w:tcBorders>
          </w:tcPr>
          <w:p w:rsidR="00AA1FAF" w:rsidRPr="00301BDD" w:rsidRDefault="00AA1FAF" w:rsidP="00EA2C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</w:tcPr>
          <w:p w:rsidR="00AA1FAF" w:rsidRPr="00301BDD" w:rsidRDefault="00AA1FAF" w:rsidP="00EA2C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A1FAF" w:rsidRPr="0096076F" w:rsidTr="000E78A1">
        <w:trPr>
          <w:trHeight w:val="84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FAF" w:rsidRDefault="00AA1FAF" w:rsidP="00EA2C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A1FAF" w:rsidRPr="003A4B31" w:rsidRDefault="00AA1FAF" w:rsidP="00EA2C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  <w:vAlign w:val="bottom"/>
          </w:tcPr>
          <w:p w:rsidR="00AA1FAF" w:rsidRPr="006B4ED6" w:rsidRDefault="00AA1FAF" w:rsidP="00EA2C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bottom"/>
          </w:tcPr>
          <w:p w:rsidR="00AA1FAF" w:rsidRPr="0096076F" w:rsidRDefault="00AA1FAF" w:rsidP="00EA2C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802C59" w:rsidRPr="00D75615" w:rsidRDefault="00802C59" w:rsidP="000E78A1">
      <w:pPr>
        <w:pStyle w:val="1"/>
      </w:pPr>
    </w:p>
    <w:sectPr w:rsidR="00802C59" w:rsidRPr="00D75615" w:rsidSect="000E78A1">
      <w:foot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B5" w:rsidRDefault="00675FB5">
      <w:r>
        <w:separator/>
      </w:r>
    </w:p>
  </w:endnote>
  <w:endnote w:type="continuationSeparator" w:id="0">
    <w:p w:rsidR="00675FB5" w:rsidRDefault="0067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7D" w:rsidRDefault="003F777D">
    <w:pPr>
      <w:pStyle w:val="a4"/>
    </w:pPr>
  </w:p>
  <w:p w:rsidR="006147FD" w:rsidRPr="00D75615" w:rsidRDefault="006147FD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B5" w:rsidRDefault="00675FB5">
      <w:r>
        <w:separator/>
      </w:r>
    </w:p>
  </w:footnote>
  <w:footnote w:type="continuationSeparator" w:id="0">
    <w:p w:rsidR="00675FB5" w:rsidRDefault="0067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BF"/>
    <w:rsid w:val="0006476E"/>
    <w:rsid w:val="000C31C4"/>
    <w:rsid w:val="000E2105"/>
    <w:rsid w:val="000E2285"/>
    <w:rsid w:val="000E78A1"/>
    <w:rsid w:val="000F2F55"/>
    <w:rsid w:val="001135FD"/>
    <w:rsid w:val="001158E9"/>
    <w:rsid w:val="00134388"/>
    <w:rsid w:val="001613E3"/>
    <w:rsid w:val="001B09B7"/>
    <w:rsid w:val="001E6C30"/>
    <w:rsid w:val="002131B7"/>
    <w:rsid w:val="002D0C39"/>
    <w:rsid w:val="0030313F"/>
    <w:rsid w:val="003851E5"/>
    <w:rsid w:val="003B22D8"/>
    <w:rsid w:val="003F777D"/>
    <w:rsid w:val="00436D11"/>
    <w:rsid w:val="00437C25"/>
    <w:rsid w:val="0049548B"/>
    <w:rsid w:val="0053102B"/>
    <w:rsid w:val="0054640E"/>
    <w:rsid w:val="005C4ACB"/>
    <w:rsid w:val="005D111F"/>
    <w:rsid w:val="005E2027"/>
    <w:rsid w:val="006147FD"/>
    <w:rsid w:val="00626B96"/>
    <w:rsid w:val="00675FB5"/>
    <w:rsid w:val="00686172"/>
    <w:rsid w:val="006956BA"/>
    <w:rsid w:val="00742300"/>
    <w:rsid w:val="00776ABF"/>
    <w:rsid w:val="007A1103"/>
    <w:rsid w:val="007C0753"/>
    <w:rsid w:val="00802C59"/>
    <w:rsid w:val="00844B2E"/>
    <w:rsid w:val="0085684C"/>
    <w:rsid w:val="00872069"/>
    <w:rsid w:val="00876B97"/>
    <w:rsid w:val="008D2ED8"/>
    <w:rsid w:val="008D3ABF"/>
    <w:rsid w:val="009644B4"/>
    <w:rsid w:val="009B7B22"/>
    <w:rsid w:val="009D0303"/>
    <w:rsid w:val="00A6060F"/>
    <w:rsid w:val="00A82F53"/>
    <w:rsid w:val="00A92378"/>
    <w:rsid w:val="00A97049"/>
    <w:rsid w:val="00AA1FAF"/>
    <w:rsid w:val="00AC2316"/>
    <w:rsid w:val="00B037A1"/>
    <w:rsid w:val="00B303C1"/>
    <w:rsid w:val="00B36A05"/>
    <w:rsid w:val="00B3745A"/>
    <w:rsid w:val="00B9105A"/>
    <w:rsid w:val="00BF2503"/>
    <w:rsid w:val="00C47A7B"/>
    <w:rsid w:val="00C63C4B"/>
    <w:rsid w:val="00CC7EE8"/>
    <w:rsid w:val="00CD747E"/>
    <w:rsid w:val="00CF5FA2"/>
    <w:rsid w:val="00D75615"/>
    <w:rsid w:val="00D768B0"/>
    <w:rsid w:val="00DA4A17"/>
    <w:rsid w:val="00DD181E"/>
    <w:rsid w:val="00DD3BC8"/>
    <w:rsid w:val="00DF0189"/>
    <w:rsid w:val="00E03C67"/>
    <w:rsid w:val="00E323D4"/>
    <w:rsid w:val="00E47B64"/>
    <w:rsid w:val="00EE67AC"/>
    <w:rsid w:val="00F3400C"/>
    <w:rsid w:val="00F352B2"/>
    <w:rsid w:val="00F43591"/>
    <w:rsid w:val="00FA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9D0303"/>
    <w:rPr>
      <w:sz w:val="20"/>
      <w:szCs w:val="20"/>
    </w:rPr>
  </w:style>
  <w:style w:type="character" w:styleId="a8">
    <w:name w:val="footnote reference"/>
    <w:basedOn w:val="a0"/>
    <w:semiHidden/>
    <w:rsid w:val="009D030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3F777D"/>
    <w:rPr>
      <w:sz w:val="24"/>
      <w:szCs w:val="24"/>
    </w:rPr>
  </w:style>
  <w:style w:type="paragraph" w:styleId="a9">
    <w:name w:val="Balloon Text"/>
    <w:basedOn w:val="a"/>
    <w:link w:val="aa"/>
    <w:rsid w:val="003F7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7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0E78A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E7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7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1</cp:lastModifiedBy>
  <cp:revision>5</cp:revision>
  <cp:lastPrinted>2021-07-17T06:35:00Z</cp:lastPrinted>
  <dcterms:created xsi:type="dcterms:W3CDTF">2021-07-15T07:10:00Z</dcterms:created>
  <dcterms:modified xsi:type="dcterms:W3CDTF">2021-07-17T06:35:00Z</dcterms:modified>
</cp:coreProperties>
</file>