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411820" w:rsidP="004118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B2122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250DD">
              <w:rPr>
                <w:rFonts w:ascii="Times New Roman" w:hAnsi="Times New Roman"/>
                <w:bCs/>
                <w:sz w:val="28"/>
              </w:rPr>
              <w:t>августа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3250DD">
              <w:rPr>
                <w:rFonts w:ascii="Times New Roman" w:hAnsi="Times New Roman"/>
                <w:bCs/>
                <w:sz w:val="28"/>
              </w:rPr>
              <w:t>20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411820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67/1193-4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8035B5" w:rsidRDefault="008035B5" w:rsidP="003250DD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>
        <w:rPr>
          <w:b/>
          <w:i w:val="0"/>
          <w:szCs w:val="28"/>
        </w:rPr>
        <w:t>для проведения голосования вне помещения</w:t>
      </w:r>
      <w:r w:rsidR="003250DD">
        <w:rPr>
          <w:b/>
          <w:i w:val="0"/>
          <w:szCs w:val="28"/>
        </w:rPr>
        <w:t xml:space="preserve"> для голосования</w:t>
      </w:r>
      <w:r>
        <w:rPr>
          <w:b/>
          <w:i w:val="0"/>
          <w:szCs w:val="28"/>
        </w:rPr>
        <w:t xml:space="preserve"> при проведении </w:t>
      </w:r>
      <w:proofErr w:type="gramStart"/>
      <w:r w:rsidR="00933410">
        <w:rPr>
          <w:b/>
          <w:i w:val="0"/>
          <w:szCs w:val="28"/>
        </w:rPr>
        <w:t xml:space="preserve">выборов </w:t>
      </w:r>
      <w:r w:rsidR="003250DD">
        <w:rPr>
          <w:b/>
          <w:i w:val="0"/>
          <w:szCs w:val="28"/>
        </w:rPr>
        <w:t>депутатов Совета депутатов городского поселения</w:t>
      </w:r>
      <w:proofErr w:type="gramEnd"/>
      <w:r w:rsidR="003250DD">
        <w:rPr>
          <w:b/>
          <w:i w:val="0"/>
          <w:szCs w:val="28"/>
        </w:rPr>
        <w:t xml:space="preserve"> поселок Новозавидовский пятого созыва и дополнительных выборов депутата Собрания депутатов Конаковского района Тверской области шестого созыва 13 сентября 2020 года.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proofErr w:type="gramStart"/>
      <w:r>
        <w:rPr>
          <w:i w:val="0"/>
          <w:szCs w:val="28"/>
        </w:rPr>
        <w:t>В соответствии с пунктами 8, 8.1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464840" w:rsidRPr="00464840">
        <w:rPr>
          <w:i w:val="0"/>
          <w:szCs w:val="28"/>
        </w:rPr>
        <w:t xml:space="preserve">постановлений избирательной комиссии Тверской области </w:t>
      </w:r>
      <w:r w:rsidR="00464840" w:rsidRPr="00464840">
        <w:rPr>
          <w:i w:val="0"/>
        </w:rPr>
        <w:t xml:space="preserve"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464840" w:rsidRPr="00464840">
        <w:rPr>
          <w:i w:val="0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</w:t>
      </w:r>
      <w:proofErr w:type="gramEnd"/>
      <w:r w:rsidR="00464840" w:rsidRPr="00464840">
        <w:rPr>
          <w:i w:val="0"/>
          <w:szCs w:val="28"/>
        </w:rPr>
        <w:t xml:space="preserve"> Конаковского района»,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proofErr w:type="gramStart"/>
      <w:r w:rsidR="00464840">
        <w:rPr>
          <w:i w:val="0"/>
          <w:szCs w:val="28"/>
        </w:rPr>
        <w:t>выборов депутатов Совета депутатов городского поселения</w:t>
      </w:r>
      <w:proofErr w:type="gramEnd"/>
      <w:r w:rsidR="00464840">
        <w:rPr>
          <w:i w:val="0"/>
          <w:szCs w:val="28"/>
        </w:rPr>
        <w:t xml:space="preserve"> поселок Новозавидовский </w:t>
      </w:r>
      <w:r w:rsidR="003250DD">
        <w:rPr>
          <w:i w:val="0"/>
          <w:szCs w:val="28"/>
        </w:rPr>
        <w:t>пятого</w:t>
      </w:r>
      <w:r w:rsidR="00464840">
        <w:rPr>
          <w:i w:val="0"/>
          <w:szCs w:val="28"/>
        </w:rPr>
        <w:t xml:space="preserve"> созыва, дополнительных выборов депутата Собрания депу</w:t>
      </w:r>
      <w:r w:rsidR="003250DD">
        <w:rPr>
          <w:i w:val="0"/>
          <w:szCs w:val="28"/>
        </w:rPr>
        <w:t xml:space="preserve">татов Конаковского района шестого созыва </w:t>
      </w:r>
      <w:r w:rsidR="00464840">
        <w:rPr>
          <w:i w:val="0"/>
          <w:szCs w:val="28"/>
        </w:rPr>
        <w:t>13</w:t>
      </w:r>
      <w:r w:rsidR="00A07403" w:rsidRPr="00A07403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сентября 20</w:t>
      </w:r>
      <w:r w:rsidR="003250DD">
        <w:rPr>
          <w:i w:val="0"/>
          <w:szCs w:val="28"/>
        </w:rPr>
        <w:t>20</w:t>
      </w:r>
      <w:r w:rsidR="00A07403" w:rsidRPr="00A07403">
        <w:rPr>
          <w:i w:val="0"/>
          <w:szCs w:val="28"/>
        </w:rPr>
        <w:t xml:space="preserve"> года</w:t>
      </w:r>
      <w:r w:rsidR="003250DD">
        <w:rPr>
          <w:i w:val="0"/>
          <w:szCs w:val="28"/>
        </w:rPr>
        <w:t xml:space="preserve"> </w:t>
      </w:r>
      <w:r w:rsidRPr="00A07403">
        <w:rPr>
          <w:i w:val="0"/>
          <w:szCs w:val="28"/>
        </w:rPr>
        <w:t>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8035B5" w:rsidRPr="004A0D2A" w:rsidTr="008035B5">
        <w:tc>
          <w:tcPr>
            <w:tcW w:w="3227" w:type="dxa"/>
          </w:tcPr>
          <w:p w:rsidR="008035B5" w:rsidRPr="004A0D2A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415</w:t>
            </w:r>
          </w:p>
        </w:tc>
        <w:tc>
          <w:tcPr>
            <w:tcW w:w="3118" w:type="dxa"/>
          </w:tcPr>
          <w:p w:rsidR="008035B5" w:rsidRPr="004A0D2A" w:rsidRDefault="008C592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827</w:t>
            </w:r>
          </w:p>
        </w:tc>
        <w:tc>
          <w:tcPr>
            <w:tcW w:w="3119" w:type="dxa"/>
          </w:tcPr>
          <w:p w:rsidR="008035B5" w:rsidRPr="00A07403" w:rsidRDefault="00A07403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2070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437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038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116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244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1356</w:t>
            </w:r>
          </w:p>
        </w:tc>
        <w:tc>
          <w:tcPr>
            <w:tcW w:w="3119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269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3250DD"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3118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871</w:t>
            </w:r>
          </w:p>
        </w:tc>
        <w:tc>
          <w:tcPr>
            <w:tcW w:w="3119" w:type="dxa"/>
          </w:tcPr>
          <w:p w:rsidR="00464840" w:rsidRDefault="008C5E2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3250DD">
              <w:rPr>
                <w:snapToGrid w:val="0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1592</w:t>
            </w:r>
          </w:p>
        </w:tc>
        <w:tc>
          <w:tcPr>
            <w:tcW w:w="3119" w:type="dxa"/>
          </w:tcPr>
          <w:p w:rsidR="00464840" w:rsidRDefault="003250DD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</w:tbl>
    <w:p w:rsidR="00411820" w:rsidRDefault="00411820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1D17FD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2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 xml:space="preserve">Направить настоящее постановление </w:t>
      </w:r>
      <w:r w:rsidR="008C5929">
        <w:rPr>
          <w:snapToGrid w:val="0"/>
          <w:sz w:val="28"/>
          <w:szCs w:val="28"/>
        </w:rPr>
        <w:t>в участковую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 xml:space="preserve">ую </w:t>
      </w:r>
      <w:r w:rsidR="009C2AFD">
        <w:rPr>
          <w:snapToGrid w:val="0"/>
          <w:sz w:val="28"/>
          <w:szCs w:val="28"/>
        </w:rPr>
        <w:t xml:space="preserve"> комисси</w:t>
      </w:r>
      <w:r w:rsidR="008C5929">
        <w:rPr>
          <w:snapToGrid w:val="0"/>
          <w:sz w:val="28"/>
          <w:szCs w:val="28"/>
        </w:rPr>
        <w:t>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>ого</w:t>
      </w:r>
      <w:r w:rsidR="009C2AFD">
        <w:rPr>
          <w:snapToGrid w:val="0"/>
          <w:sz w:val="28"/>
          <w:szCs w:val="28"/>
        </w:rPr>
        <w:t xml:space="preserve"> участк</w:t>
      </w:r>
      <w:r w:rsidR="008C5E25">
        <w:rPr>
          <w:snapToGrid w:val="0"/>
          <w:sz w:val="28"/>
          <w:szCs w:val="28"/>
        </w:rPr>
        <w:t xml:space="preserve">а № </w:t>
      </w:r>
      <w:r w:rsidR="003250DD">
        <w:rPr>
          <w:snapToGrid w:val="0"/>
          <w:sz w:val="28"/>
          <w:szCs w:val="28"/>
        </w:rPr>
        <w:t>415,416,437-441, 444-446</w:t>
      </w:r>
      <w:r w:rsidR="009C2AFD">
        <w:rPr>
          <w:snapToGrid w:val="0"/>
          <w:sz w:val="28"/>
          <w:szCs w:val="28"/>
        </w:rPr>
        <w:t>.</w:t>
      </w:r>
    </w:p>
    <w:p w:rsidR="008035B5" w:rsidRDefault="001D17FD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411820" w:rsidRPr="0081141D" w:rsidRDefault="00411820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93341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0DD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1820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6476C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6768"/>
    <w:rsid w:val="00CC6C04"/>
    <w:rsid w:val="00CC73DA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2020-08-20T06:12:00Z</cp:lastPrinted>
  <dcterms:created xsi:type="dcterms:W3CDTF">2020-08-14T12:39:00Z</dcterms:created>
  <dcterms:modified xsi:type="dcterms:W3CDTF">2020-08-20T06:13:00Z</dcterms:modified>
</cp:coreProperties>
</file>