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E814B3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B25B95">
              <w:rPr>
                <w:rFonts w:ascii="Times New Roman" w:hAnsi="Times New Roman"/>
                <w:bCs/>
                <w:sz w:val="28"/>
              </w:rPr>
              <w:t>августа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82000">
              <w:rPr>
                <w:rFonts w:ascii="Times New Roman" w:hAnsi="Times New Roman"/>
                <w:bCs/>
                <w:sz w:val="28"/>
              </w:rPr>
              <w:t>5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E814B3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D63">
              <w:rPr>
                <w:sz w:val="28"/>
                <w:szCs w:val="28"/>
              </w:rPr>
              <w:t>151/13</w:t>
            </w:r>
            <w:r>
              <w:rPr>
                <w:sz w:val="28"/>
                <w:szCs w:val="28"/>
              </w:rPr>
              <w:t>81-3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 списки кандидатов,</w:t>
      </w:r>
    </w:p>
    <w:p w:rsidR="00E537C2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</w:t>
      </w:r>
      <w:r w:rsidR="00F61459">
        <w:rPr>
          <w:b/>
          <w:sz w:val="28"/>
          <w:szCs w:val="28"/>
        </w:rPr>
        <w:t>дополнительных</w:t>
      </w:r>
      <w:r w:rsidR="00F61459" w:rsidRPr="00B15B95">
        <w:rPr>
          <w:b/>
          <w:sz w:val="28"/>
          <w:szCs w:val="28"/>
        </w:rPr>
        <w:t xml:space="preserve"> </w:t>
      </w:r>
      <w:r w:rsidRPr="00B15B95">
        <w:rPr>
          <w:b/>
          <w:sz w:val="28"/>
          <w:szCs w:val="28"/>
        </w:rPr>
        <w:t>выборов</w:t>
      </w:r>
      <w:r w:rsidR="00E537C2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0572BD">
        <w:rPr>
          <w:b/>
          <w:sz w:val="28"/>
          <w:szCs w:val="28"/>
        </w:rPr>
        <w:t xml:space="preserve">Совета депутатов </w:t>
      </w:r>
      <w:r w:rsidR="00911B17">
        <w:rPr>
          <w:b/>
          <w:sz w:val="28"/>
          <w:szCs w:val="28"/>
        </w:rPr>
        <w:t>городского поселения</w:t>
      </w:r>
      <w:r w:rsidR="00F61459">
        <w:rPr>
          <w:b/>
          <w:sz w:val="28"/>
          <w:szCs w:val="28"/>
        </w:rPr>
        <w:t xml:space="preserve"> -</w:t>
      </w:r>
      <w:r w:rsidR="00911B17">
        <w:rPr>
          <w:b/>
          <w:sz w:val="28"/>
          <w:szCs w:val="28"/>
        </w:rPr>
        <w:t xml:space="preserve"> поселок </w:t>
      </w:r>
      <w:r w:rsidR="00F61459">
        <w:rPr>
          <w:b/>
          <w:sz w:val="28"/>
          <w:szCs w:val="28"/>
        </w:rPr>
        <w:t>Изоплит третьего</w:t>
      </w:r>
      <w:r w:rsidR="00911B17">
        <w:rPr>
          <w:b/>
          <w:sz w:val="28"/>
          <w:szCs w:val="28"/>
        </w:rPr>
        <w:t xml:space="preserve"> созыва</w:t>
      </w:r>
    </w:p>
    <w:p w:rsidR="00E537C2" w:rsidRDefault="00F61459" w:rsidP="00AC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ок</w:t>
      </w:r>
      <w:r w:rsidR="00C5761C">
        <w:rPr>
          <w:b/>
          <w:sz w:val="28"/>
          <w:szCs w:val="28"/>
        </w:rPr>
        <w:t>тября 201</w:t>
      </w:r>
      <w:r w:rsidR="000572BD">
        <w:rPr>
          <w:b/>
          <w:sz w:val="28"/>
          <w:szCs w:val="28"/>
        </w:rPr>
        <w:t>5</w:t>
      </w:r>
      <w:r w:rsidR="00C5761C">
        <w:rPr>
          <w:b/>
          <w:sz w:val="28"/>
          <w:szCs w:val="28"/>
        </w:rPr>
        <w:t xml:space="preserve"> года</w:t>
      </w:r>
    </w:p>
    <w:p w:rsidR="00911B17" w:rsidRDefault="00911B17" w:rsidP="00AC1355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51824">
        <w:rPr>
          <w:sz w:val="28"/>
          <w:szCs w:val="28"/>
        </w:rPr>
        <w:t>пос</w:t>
      </w:r>
      <w:r w:rsidR="00F61459">
        <w:rPr>
          <w:sz w:val="28"/>
          <w:szCs w:val="28"/>
        </w:rPr>
        <w:t>тановлением</w:t>
      </w:r>
      <w:r w:rsidR="00251824">
        <w:rPr>
          <w:sz w:val="28"/>
          <w:szCs w:val="28"/>
        </w:rPr>
        <w:t xml:space="preserve"> </w:t>
      </w:r>
      <w:r w:rsidR="00251824" w:rsidRPr="005C5194">
        <w:rPr>
          <w:sz w:val="28"/>
          <w:szCs w:val="28"/>
        </w:rPr>
        <w:t xml:space="preserve">избирательной комиссии Тверской области </w:t>
      </w:r>
      <w:r w:rsidR="00F61459">
        <w:rPr>
          <w:bCs/>
          <w:szCs w:val="28"/>
        </w:rPr>
        <w:t xml:space="preserve">№ </w:t>
      </w:r>
      <w:r w:rsidR="00F61459" w:rsidRPr="00714210">
        <w:rPr>
          <w:bCs/>
        </w:rPr>
        <w:t xml:space="preserve"> </w:t>
      </w:r>
      <w:r w:rsidR="00F61459" w:rsidRPr="00F61459">
        <w:rPr>
          <w:bCs/>
          <w:sz w:val="28"/>
        </w:rPr>
        <w:t>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251824">
        <w:rPr>
          <w:b/>
        </w:rPr>
        <w:t xml:space="preserve">,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Pr="00E537C2">
        <w:rPr>
          <w:szCs w:val="28"/>
        </w:rPr>
        <w:t>использовать в работе примерные формы документов</w:t>
      </w:r>
      <w:r>
        <w:rPr>
          <w:szCs w:val="28"/>
        </w:rPr>
        <w:t xml:space="preserve"> (приложение № 1).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 w:rsidRPr="00E537C2">
        <w:rPr>
          <w:szCs w:val="28"/>
        </w:rPr>
        <w:t xml:space="preserve"> </w:t>
      </w:r>
      <w:r>
        <w:rPr>
          <w:szCs w:val="28"/>
        </w:rPr>
        <w:t>Рекомендовать</w:t>
      </w:r>
      <w:r w:rsidRPr="00E537C2">
        <w:rPr>
          <w:szCs w:val="28"/>
        </w:rPr>
        <w:t xml:space="preserve">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</w:t>
      </w:r>
      <w:r>
        <w:rPr>
          <w:szCs w:val="28"/>
        </w:rPr>
        <w:t>ормы документов (приложения № </w:t>
      </w:r>
      <w:r w:rsidRPr="00E537C2">
        <w:rPr>
          <w:szCs w:val="28"/>
        </w:rPr>
        <w:t>2).</w:t>
      </w:r>
    </w:p>
    <w:p w:rsidR="00933E92" w:rsidRPr="000572BD" w:rsidRDefault="00911B17" w:rsidP="000572BD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>
        <w:rPr>
          <w:szCs w:val="28"/>
        </w:rPr>
        <w:t xml:space="preserve">организовать размещение </w:t>
      </w:r>
      <w:r w:rsidR="00F61459">
        <w:rPr>
          <w:szCs w:val="28"/>
        </w:rPr>
        <w:t>на сайте территориальной избирательной комиссии Конаковского района в</w:t>
      </w:r>
      <w:r w:rsidR="00933E92">
        <w:rPr>
          <w:szCs w:val="28"/>
        </w:rPr>
        <w:t xml:space="preserve"> информационно-телекоммуникационной сети «Интернет» информации о факте предоставления помещения </w:t>
      </w:r>
      <w:r>
        <w:rPr>
          <w:szCs w:val="28"/>
        </w:rPr>
        <w:t xml:space="preserve">кандидату, </w:t>
      </w:r>
      <w:r w:rsidR="00933E92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F61459" w:rsidRDefault="00F61459" w:rsidP="00FB161C">
      <w:pPr>
        <w:pStyle w:val="21"/>
        <w:spacing w:line="360" w:lineRule="auto"/>
        <w:sectPr w:rsidR="00F61459" w:rsidSect="00F25506">
          <w:headerReference w:type="even" r:id="rId7"/>
          <w:headerReference w:type="default" r:id="rId8"/>
          <w:pgSz w:w="11907" w:h="16840" w:code="9"/>
          <w:pgMar w:top="1134" w:right="850" w:bottom="1134" w:left="1701" w:header="709" w:footer="709" w:gutter="0"/>
          <w:cols w:space="708"/>
          <w:titlePg/>
          <w:docGrid w:linePitch="326"/>
        </w:sectPr>
      </w:pPr>
    </w:p>
    <w:p w:rsidR="00282000" w:rsidRDefault="00282000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824">
        <w:rPr>
          <w:sz w:val="28"/>
          <w:szCs w:val="28"/>
        </w:rPr>
        <w:t xml:space="preserve"> </w:t>
      </w:r>
      <w:r w:rsidR="00E814B3">
        <w:rPr>
          <w:sz w:val="28"/>
          <w:szCs w:val="28"/>
        </w:rPr>
        <w:t xml:space="preserve">26 </w:t>
      </w:r>
      <w:r w:rsidR="00F61459">
        <w:rPr>
          <w:sz w:val="28"/>
          <w:szCs w:val="28"/>
        </w:rPr>
        <w:t>августа</w:t>
      </w:r>
      <w:r w:rsidR="008C0E85">
        <w:rPr>
          <w:bCs/>
          <w:sz w:val="28"/>
        </w:rPr>
        <w:t xml:space="preserve"> </w:t>
      </w:r>
      <w:r w:rsidR="008C0E85" w:rsidRPr="0081141D">
        <w:rPr>
          <w:bCs/>
          <w:sz w:val="28"/>
        </w:rPr>
        <w:t>201</w:t>
      </w:r>
      <w:r w:rsidR="000572BD">
        <w:rPr>
          <w:bCs/>
          <w:sz w:val="28"/>
        </w:rPr>
        <w:t>5</w:t>
      </w:r>
      <w:r w:rsidR="008C0E85"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 w:rsidR="00251824">
        <w:rPr>
          <w:color w:val="000000"/>
          <w:sz w:val="28"/>
          <w:szCs w:val="28"/>
        </w:rPr>
        <w:t xml:space="preserve"> </w:t>
      </w:r>
      <w:r w:rsidR="00E814B3" w:rsidRPr="00E15D63">
        <w:rPr>
          <w:sz w:val="28"/>
          <w:szCs w:val="28"/>
        </w:rPr>
        <w:t>151/13</w:t>
      </w:r>
      <w:r w:rsidR="00E814B3">
        <w:rPr>
          <w:sz w:val="28"/>
          <w:szCs w:val="28"/>
        </w:rPr>
        <w:t>81-3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F61459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6434CA"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282000">
        <w:rPr>
          <w:rFonts w:ascii="Times New Roman" w:hAnsi="Times New Roman" w:cs="Times New Roman"/>
          <w:sz w:val="28"/>
          <w:szCs w:val="28"/>
        </w:rPr>
        <w:t>5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6434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B56596" w:rsidRDefault="00B56596" w:rsidP="00B56596">
      <w:pPr>
        <w:pStyle w:val="23"/>
        <w:spacing w:after="0" w:line="240" w:lineRule="auto"/>
        <w:ind w:left="4111"/>
        <w:jc w:val="center"/>
        <w:rPr>
          <w:bCs/>
          <w:sz w:val="28"/>
          <w:szCs w:val="28"/>
        </w:rPr>
      </w:pPr>
      <w:r w:rsidRPr="008C0E85">
        <w:rPr>
          <w:sz w:val="28"/>
          <w:szCs w:val="28"/>
        </w:rPr>
        <w:t xml:space="preserve">от </w:t>
      </w:r>
      <w:r w:rsidR="00E814B3">
        <w:rPr>
          <w:sz w:val="28"/>
          <w:szCs w:val="28"/>
        </w:rPr>
        <w:t xml:space="preserve">26 </w:t>
      </w:r>
      <w:r w:rsidR="00F61459">
        <w:rPr>
          <w:sz w:val="28"/>
          <w:szCs w:val="28"/>
        </w:rPr>
        <w:t>августа</w:t>
      </w:r>
      <w:r w:rsidR="008C0E85" w:rsidRPr="008C0E85">
        <w:rPr>
          <w:bCs/>
          <w:sz w:val="28"/>
          <w:szCs w:val="28"/>
        </w:rPr>
        <w:t xml:space="preserve"> 201</w:t>
      </w:r>
      <w:r w:rsidR="000572BD">
        <w:rPr>
          <w:bCs/>
          <w:sz w:val="28"/>
          <w:szCs w:val="28"/>
        </w:rPr>
        <w:t>5</w:t>
      </w:r>
      <w:r w:rsidR="008C0E85" w:rsidRPr="008C0E85">
        <w:rPr>
          <w:bCs/>
          <w:sz w:val="28"/>
          <w:szCs w:val="28"/>
        </w:rPr>
        <w:t xml:space="preserve"> года</w:t>
      </w:r>
      <w:r w:rsidR="00251824" w:rsidRPr="008C0E85">
        <w:rPr>
          <w:sz w:val="28"/>
          <w:szCs w:val="28"/>
        </w:rPr>
        <w:t xml:space="preserve"> </w:t>
      </w:r>
      <w:r w:rsidRPr="008C0E85">
        <w:rPr>
          <w:sz w:val="28"/>
          <w:szCs w:val="28"/>
        </w:rPr>
        <w:t xml:space="preserve"> №</w:t>
      </w:r>
      <w:r w:rsidR="00251824" w:rsidRPr="008C0E85">
        <w:rPr>
          <w:color w:val="000000"/>
          <w:sz w:val="28"/>
          <w:szCs w:val="28"/>
        </w:rPr>
        <w:t xml:space="preserve"> </w:t>
      </w:r>
      <w:r w:rsidR="00E814B3" w:rsidRPr="00E15D63">
        <w:rPr>
          <w:sz w:val="28"/>
          <w:szCs w:val="28"/>
        </w:rPr>
        <w:t>151/13</w:t>
      </w:r>
      <w:r w:rsidR="00E814B3">
        <w:rPr>
          <w:sz w:val="28"/>
          <w:szCs w:val="28"/>
        </w:rPr>
        <w:t>81-3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P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 w:rsidTr="00E814B3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 w:rsidTr="00E814B3">
        <w:tc>
          <w:tcPr>
            <w:tcW w:w="9571" w:type="dxa"/>
          </w:tcPr>
          <w:p w:rsidR="00E537C2" w:rsidRPr="00484B30" w:rsidRDefault="00E537C2" w:rsidP="00E814B3">
            <w:pPr>
              <w:pStyle w:val="23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 xml:space="preserve">В </w:t>
            </w:r>
            <w:r w:rsidR="00F25506" w:rsidRPr="00484B30">
              <w:rPr>
                <w:bCs/>
                <w:sz w:val="28"/>
                <w:szCs w:val="28"/>
              </w:rPr>
              <w:t xml:space="preserve">территориальную </w:t>
            </w:r>
            <w:r w:rsidRPr="00484B30">
              <w:rPr>
                <w:bCs/>
                <w:sz w:val="28"/>
                <w:szCs w:val="28"/>
              </w:rPr>
              <w:t>избирательную комиссию</w:t>
            </w:r>
          </w:p>
          <w:p w:rsidR="00E537C2" w:rsidRPr="00484B30" w:rsidRDefault="006434CA" w:rsidP="00E814B3">
            <w:pPr>
              <w:pStyle w:val="23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</w:t>
            </w:r>
            <w:r w:rsidR="00F25506" w:rsidRPr="00484B30">
              <w:rPr>
                <w:bCs/>
                <w:sz w:val="28"/>
                <w:szCs w:val="28"/>
              </w:rPr>
              <w:t xml:space="preserve"> района</w:t>
            </w:r>
          </w:p>
          <w:p w:rsidR="00E814B3" w:rsidRDefault="00F25506" w:rsidP="00E814B3">
            <w:pPr>
              <w:pStyle w:val="23"/>
              <w:spacing w:after="0" w:line="240" w:lineRule="auto"/>
              <w:ind w:left="142"/>
              <w:jc w:val="right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>г.</w:t>
            </w:r>
            <w:r w:rsidR="00E814B3">
              <w:rPr>
                <w:bCs/>
                <w:sz w:val="28"/>
                <w:szCs w:val="28"/>
              </w:rPr>
              <w:t xml:space="preserve">Конаково, </w:t>
            </w:r>
          </w:p>
          <w:p w:rsidR="00F25506" w:rsidRPr="00484B30" w:rsidRDefault="00E814B3" w:rsidP="00E814B3">
            <w:pPr>
              <w:pStyle w:val="23"/>
              <w:spacing w:after="0" w:line="240" w:lineRule="auto"/>
              <w:ind w:left="14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Энергетиков,</w:t>
            </w:r>
            <w:r w:rsidR="006434CA">
              <w:rPr>
                <w:bCs/>
                <w:sz w:val="28"/>
                <w:szCs w:val="28"/>
              </w:rPr>
              <w:t>д. 13, каб. 16</w:t>
            </w:r>
          </w:p>
          <w:p w:rsidR="00E537C2" w:rsidRPr="00484B30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 w:rsidTr="00E814B3">
        <w:trPr>
          <w:trHeight w:val="245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E814B3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 w:rsidTr="00E814B3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E814B3">
      <w:pgSz w:w="11907" w:h="16840" w:code="9"/>
      <w:pgMar w:top="709" w:right="850" w:bottom="426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A9" w:rsidRDefault="006607A9" w:rsidP="00D03246">
      <w:r>
        <w:separator/>
      </w:r>
    </w:p>
  </w:endnote>
  <w:endnote w:type="continuationSeparator" w:id="0">
    <w:p w:rsidR="006607A9" w:rsidRDefault="006607A9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A9" w:rsidRDefault="006607A9" w:rsidP="00D03246">
      <w:r>
        <w:separator/>
      </w:r>
    </w:p>
  </w:footnote>
  <w:footnote w:type="continuationSeparator" w:id="0">
    <w:p w:rsidR="006607A9" w:rsidRDefault="006607A9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1051A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1051A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14B3">
      <w:rPr>
        <w:rStyle w:val="a9"/>
        <w:noProof/>
      </w:rPr>
      <w:t>2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B1306"/>
    <w:rsid w:val="000C2C00"/>
    <w:rsid w:val="000E3D27"/>
    <w:rsid w:val="001051AE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303F65"/>
    <w:rsid w:val="00312A15"/>
    <w:rsid w:val="0031774A"/>
    <w:rsid w:val="00336334"/>
    <w:rsid w:val="00344B4C"/>
    <w:rsid w:val="00347474"/>
    <w:rsid w:val="00352C46"/>
    <w:rsid w:val="00360B54"/>
    <w:rsid w:val="00370BDF"/>
    <w:rsid w:val="003801CC"/>
    <w:rsid w:val="003847B4"/>
    <w:rsid w:val="003C755A"/>
    <w:rsid w:val="003D4CCA"/>
    <w:rsid w:val="003E15F5"/>
    <w:rsid w:val="003E3BC1"/>
    <w:rsid w:val="003F3D29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4E46"/>
    <w:rsid w:val="00602B18"/>
    <w:rsid w:val="006055D9"/>
    <w:rsid w:val="00611521"/>
    <w:rsid w:val="00626FD3"/>
    <w:rsid w:val="00627DC2"/>
    <w:rsid w:val="00637206"/>
    <w:rsid w:val="006434CA"/>
    <w:rsid w:val="006607A9"/>
    <w:rsid w:val="00674472"/>
    <w:rsid w:val="00676F0F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25B95"/>
    <w:rsid w:val="00B4628B"/>
    <w:rsid w:val="00B519CE"/>
    <w:rsid w:val="00B51BF9"/>
    <w:rsid w:val="00B56596"/>
    <w:rsid w:val="00B76D29"/>
    <w:rsid w:val="00B828A9"/>
    <w:rsid w:val="00BA05ED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464F"/>
    <w:rsid w:val="00E27470"/>
    <w:rsid w:val="00E31088"/>
    <w:rsid w:val="00E537C2"/>
    <w:rsid w:val="00E53CFD"/>
    <w:rsid w:val="00E814B3"/>
    <w:rsid w:val="00E829AA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61459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5982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5</cp:revision>
  <cp:lastPrinted>2015-08-25T09:53:00Z</cp:lastPrinted>
  <dcterms:created xsi:type="dcterms:W3CDTF">2015-08-22T06:54:00Z</dcterms:created>
  <dcterms:modified xsi:type="dcterms:W3CDTF">2015-08-25T09:53:00Z</dcterms:modified>
</cp:coreProperties>
</file>