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2A1765" w:rsidP="00417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</w:t>
            </w:r>
            <w:r w:rsidR="00417EB1">
              <w:rPr>
                <w:rFonts w:ascii="Times New Roman" w:hAnsi="Times New Roman"/>
                <w:bCs/>
                <w:sz w:val="28"/>
              </w:rPr>
              <w:t>июня 2015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3D4DB6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351ED">
              <w:rPr>
                <w:bCs/>
                <w:sz w:val="28"/>
                <w:szCs w:val="28"/>
              </w:rPr>
              <w:t>131/128</w:t>
            </w:r>
            <w:r>
              <w:rPr>
                <w:bCs/>
                <w:sz w:val="28"/>
                <w:szCs w:val="28"/>
              </w:rPr>
              <w:t>3-3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417EB1" w:rsidRDefault="000D1DF8" w:rsidP="0020178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417EB1">
        <w:rPr>
          <w:b/>
          <w:sz w:val="28"/>
          <w:szCs w:val="28"/>
        </w:rPr>
        <w:t>депутатов Совета депутатов г</w:t>
      </w:r>
      <w:r w:rsidR="00417EB1">
        <w:rPr>
          <w:b/>
          <w:sz w:val="28"/>
          <w:szCs w:val="28"/>
        </w:rPr>
        <w:t>о</w:t>
      </w:r>
      <w:r w:rsidR="00417EB1">
        <w:rPr>
          <w:b/>
          <w:sz w:val="28"/>
          <w:szCs w:val="28"/>
        </w:rPr>
        <w:t>родского поселения поселок Новозавидовский четвертого созыва, д</w:t>
      </w:r>
      <w:r w:rsidR="00417EB1">
        <w:rPr>
          <w:b/>
          <w:sz w:val="28"/>
          <w:szCs w:val="28"/>
        </w:rPr>
        <w:t>о</w:t>
      </w:r>
      <w:r w:rsidR="00417EB1">
        <w:rPr>
          <w:b/>
          <w:sz w:val="28"/>
          <w:szCs w:val="28"/>
        </w:rPr>
        <w:t xml:space="preserve">полнительных </w:t>
      </w:r>
      <w:r w:rsidR="00417EB1" w:rsidRPr="00491929">
        <w:rPr>
          <w:b/>
          <w:sz w:val="28"/>
          <w:szCs w:val="28"/>
        </w:rPr>
        <w:t xml:space="preserve"> </w:t>
      </w:r>
      <w:r w:rsidR="00417EB1">
        <w:rPr>
          <w:b/>
          <w:sz w:val="28"/>
          <w:szCs w:val="28"/>
        </w:rPr>
        <w:t xml:space="preserve">выборах депутата Собрания депутатов Конаковского района пятого созыва, </w:t>
      </w:r>
      <w:r w:rsidR="002A1765">
        <w:rPr>
          <w:b/>
          <w:sz w:val="28"/>
          <w:szCs w:val="28"/>
        </w:rPr>
        <w:t xml:space="preserve"> </w:t>
      </w:r>
      <w:r w:rsidR="00417EB1">
        <w:rPr>
          <w:b/>
          <w:sz w:val="28"/>
          <w:szCs w:val="28"/>
        </w:rPr>
        <w:t>дополнительных выборах депутата Совета деп</w:t>
      </w:r>
      <w:r w:rsidR="00417EB1">
        <w:rPr>
          <w:b/>
          <w:sz w:val="28"/>
          <w:szCs w:val="28"/>
        </w:rPr>
        <w:t>у</w:t>
      </w:r>
      <w:r w:rsidR="00417EB1">
        <w:rPr>
          <w:b/>
          <w:sz w:val="28"/>
          <w:szCs w:val="28"/>
        </w:rPr>
        <w:t>татов Городенского сельского поселения третьего созыва</w:t>
      </w:r>
      <w:r w:rsidR="00384905">
        <w:rPr>
          <w:b/>
          <w:sz w:val="28"/>
          <w:szCs w:val="28"/>
        </w:rPr>
        <w:t xml:space="preserve"> </w:t>
      </w:r>
    </w:p>
    <w:p w:rsidR="0020178F" w:rsidRPr="009E3D2B" w:rsidRDefault="00417EB1" w:rsidP="0020178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</w:t>
      </w:r>
      <w:r w:rsidR="0020178F">
        <w:rPr>
          <w:b/>
          <w:sz w:val="28"/>
          <w:szCs w:val="28"/>
        </w:rPr>
        <w:t xml:space="preserve"> года.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 28, 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 и в связи с подготовкой и провед</w:t>
      </w:r>
      <w:r w:rsidRPr="0020178F">
        <w:rPr>
          <w:sz w:val="28"/>
          <w:szCs w:val="28"/>
        </w:rPr>
        <w:t>е</w:t>
      </w:r>
      <w:r w:rsidRPr="0020178F">
        <w:rPr>
          <w:sz w:val="28"/>
          <w:szCs w:val="28"/>
        </w:rPr>
        <w:t xml:space="preserve">нием </w:t>
      </w:r>
      <w:r w:rsidR="00417EB1" w:rsidRPr="00417EB1">
        <w:rPr>
          <w:sz w:val="28"/>
          <w:szCs w:val="28"/>
        </w:rPr>
        <w:t>выборов депутатов Совета депутатов городского поселения поселок Новозавидовский четвертого созыва, дополнительных  выборах депутата С</w:t>
      </w:r>
      <w:r w:rsidR="00417EB1" w:rsidRPr="00417EB1">
        <w:rPr>
          <w:sz w:val="28"/>
          <w:szCs w:val="28"/>
        </w:rPr>
        <w:t>о</w:t>
      </w:r>
      <w:r w:rsidR="00417EB1" w:rsidRPr="00417EB1">
        <w:rPr>
          <w:sz w:val="28"/>
          <w:szCs w:val="28"/>
        </w:rPr>
        <w:t>брания депутатов Конаковского района пятого созыва, дополнительных в</w:t>
      </w:r>
      <w:r w:rsidR="00417EB1" w:rsidRPr="00417EB1">
        <w:rPr>
          <w:sz w:val="28"/>
          <w:szCs w:val="28"/>
        </w:rPr>
        <w:t>ы</w:t>
      </w:r>
      <w:r w:rsidR="00417EB1" w:rsidRPr="00417EB1">
        <w:rPr>
          <w:sz w:val="28"/>
          <w:szCs w:val="28"/>
        </w:rPr>
        <w:t>борах депутата Совета депутатов Городенского сельского поселения третьего созыва</w:t>
      </w:r>
      <w:r w:rsidR="00417EB1">
        <w:rPr>
          <w:sz w:val="28"/>
          <w:szCs w:val="28"/>
        </w:rPr>
        <w:t xml:space="preserve"> </w:t>
      </w:r>
      <w:r w:rsidR="00417EB1" w:rsidRPr="00417EB1">
        <w:rPr>
          <w:sz w:val="28"/>
          <w:szCs w:val="28"/>
        </w:rPr>
        <w:t>13 сентября 2015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>ерриториальная избирательная комиссия К</w:t>
      </w:r>
      <w:r w:rsidRPr="0020178F">
        <w:rPr>
          <w:sz w:val="28"/>
          <w:szCs w:val="28"/>
        </w:rPr>
        <w:t>о</w:t>
      </w:r>
      <w:r w:rsidRPr="0020178F">
        <w:rPr>
          <w:sz w:val="28"/>
          <w:szCs w:val="28"/>
        </w:rPr>
        <w:t xml:space="preserve">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Default="000D1DF8" w:rsidP="000D1DF8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>депутаты Совета депутатов городского поселения поселок Новозавидовский четвертого соз</w:t>
      </w:r>
      <w:r w:rsidR="004E59E1" w:rsidRPr="004E59E1">
        <w:rPr>
          <w:sz w:val="28"/>
          <w:szCs w:val="28"/>
        </w:rPr>
        <w:t>ы</w:t>
      </w:r>
      <w:r w:rsidR="004E59E1" w:rsidRPr="004E59E1">
        <w:rPr>
          <w:sz w:val="28"/>
          <w:szCs w:val="28"/>
        </w:rPr>
        <w:t>ва, депутаты Собрания депутатов Конаковского района пятого созыва, деп</w:t>
      </w:r>
      <w:r w:rsidR="004E59E1" w:rsidRPr="004E59E1">
        <w:rPr>
          <w:sz w:val="28"/>
          <w:szCs w:val="28"/>
        </w:rPr>
        <w:t>у</w:t>
      </w:r>
      <w:r w:rsidR="004E59E1" w:rsidRPr="004E59E1">
        <w:rPr>
          <w:sz w:val="28"/>
          <w:szCs w:val="28"/>
        </w:rPr>
        <w:t>таты Совета депутатов Городенского сельского поселения третьего созыва,</w:t>
      </w:r>
      <w:r w:rsidR="004E59E1">
        <w:rPr>
          <w:b/>
          <w:sz w:val="28"/>
          <w:szCs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недост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4E59E1" w:rsidRPr="004E59E1">
        <w:rPr>
          <w:b w:val="0"/>
          <w:sz w:val="28"/>
          <w:szCs w:val="28"/>
        </w:rPr>
        <w:t>Совета депутатов городского п</w:t>
      </w:r>
      <w:r w:rsidR="004E59E1" w:rsidRPr="004E59E1">
        <w:rPr>
          <w:b w:val="0"/>
          <w:sz w:val="28"/>
          <w:szCs w:val="28"/>
        </w:rPr>
        <w:t>о</w:t>
      </w:r>
      <w:r w:rsidR="004E59E1" w:rsidRPr="004E59E1">
        <w:rPr>
          <w:b w:val="0"/>
          <w:sz w:val="28"/>
          <w:szCs w:val="28"/>
        </w:rPr>
        <w:lastRenderedPageBreak/>
        <w:t>селения поселок Новозавидовский четвертого созыва, депутаты Собр</w:t>
      </w:r>
      <w:r w:rsidR="004E59E1" w:rsidRPr="004E59E1">
        <w:rPr>
          <w:b w:val="0"/>
          <w:sz w:val="28"/>
          <w:szCs w:val="28"/>
        </w:rPr>
        <w:t>а</w:t>
      </w:r>
      <w:r w:rsidR="004E59E1" w:rsidRPr="004E59E1">
        <w:rPr>
          <w:b w:val="0"/>
          <w:sz w:val="28"/>
          <w:szCs w:val="28"/>
        </w:rPr>
        <w:t>ния депутатов Конаковского района пятого созыва, депутаты Совета депут</w:t>
      </w:r>
      <w:r w:rsidR="004E59E1" w:rsidRPr="004E59E1">
        <w:rPr>
          <w:b w:val="0"/>
          <w:sz w:val="28"/>
          <w:szCs w:val="28"/>
        </w:rPr>
        <w:t>а</w:t>
      </w:r>
      <w:r w:rsidR="004E59E1" w:rsidRPr="004E59E1">
        <w:rPr>
          <w:b w:val="0"/>
          <w:sz w:val="28"/>
          <w:szCs w:val="28"/>
        </w:rPr>
        <w:t>тов Городенского сельского поселения третьего созыва</w:t>
      </w:r>
      <w:r w:rsidRPr="004E59E1">
        <w:rPr>
          <w:b w:val="0"/>
          <w:sz w:val="28"/>
          <w:szCs w:val="28"/>
        </w:rPr>
        <w:t>,</w:t>
      </w:r>
      <w:r w:rsidRPr="00E52267">
        <w:rPr>
          <w:b w:val="0"/>
          <w:sz w:val="28"/>
          <w:szCs w:val="28"/>
        </w:rPr>
        <w:t xml:space="preserve"> представленных при их выдвижении, подлежащих размещению на информационном стенде в п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мещении для голосования либо непосредственно перед указанным помещ</w:t>
      </w:r>
      <w:r w:rsidRPr="00E52267">
        <w:rPr>
          <w:b w:val="0"/>
          <w:sz w:val="28"/>
          <w:szCs w:val="28"/>
        </w:rPr>
        <w:t>е</w:t>
      </w:r>
      <w:r w:rsidRPr="00E52267">
        <w:rPr>
          <w:b w:val="0"/>
          <w:sz w:val="28"/>
          <w:szCs w:val="28"/>
        </w:rPr>
        <w:t xml:space="preserve">нием и опубликованию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4E59E1" w:rsidRPr="004E59E1">
        <w:rPr>
          <w:b w:val="0"/>
          <w:sz w:val="28"/>
          <w:szCs w:val="28"/>
        </w:rPr>
        <w:t>Совета депутатов городского поселения поселок Новозавидовский четверт</w:t>
      </w:r>
      <w:r w:rsidR="004E59E1" w:rsidRPr="004E59E1">
        <w:rPr>
          <w:b w:val="0"/>
          <w:sz w:val="28"/>
          <w:szCs w:val="28"/>
        </w:rPr>
        <w:t>о</w:t>
      </w:r>
      <w:r w:rsidR="004E59E1" w:rsidRPr="004E59E1">
        <w:rPr>
          <w:b w:val="0"/>
          <w:sz w:val="28"/>
          <w:szCs w:val="28"/>
        </w:rPr>
        <w:t>го созыва, депутаты Собрания депутатов Конаковского района пятого соз</w:t>
      </w:r>
      <w:r w:rsidR="004E59E1" w:rsidRPr="004E59E1">
        <w:rPr>
          <w:b w:val="0"/>
          <w:sz w:val="28"/>
          <w:szCs w:val="28"/>
        </w:rPr>
        <w:t>ы</w:t>
      </w:r>
      <w:r w:rsidR="004E59E1" w:rsidRPr="004E59E1">
        <w:rPr>
          <w:b w:val="0"/>
          <w:sz w:val="28"/>
          <w:szCs w:val="28"/>
        </w:rPr>
        <w:t>ва, депутаты Совета депутатов Городенского сельского поселения третьего созыва</w:t>
      </w:r>
      <w:r w:rsidR="004E59E1">
        <w:rPr>
          <w:b w:val="0"/>
          <w:sz w:val="28"/>
          <w:szCs w:val="28"/>
        </w:rPr>
        <w:t xml:space="preserve">, </w:t>
      </w:r>
      <w:r w:rsidRPr="00E52267">
        <w:rPr>
          <w:b w:val="0"/>
          <w:sz w:val="28"/>
          <w:szCs w:val="28"/>
        </w:rPr>
        <w:t>размещаемых на информационном стенде в помещении для голос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CD2289" w:rsidRPr="00E52267" w:rsidRDefault="00CD2289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Установить форму и объем сведений о доходах и об имуществе ка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дидатов в депутаты Собрания депутатов Конаковского района пятого созыва,</w:t>
      </w:r>
      <w:r w:rsidRPr="00CD2289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подлежащих размещению на информационном стенде в помещении для г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лосования либо непосредственно перед указанным помещением</w:t>
      </w:r>
      <w:r>
        <w:rPr>
          <w:b w:val="0"/>
          <w:sz w:val="28"/>
          <w:szCs w:val="28"/>
        </w:rPr>
        <w:t xml:space="preserve"> (приложение № 4). </w:t>
      </w:r>
    </w:p>
    <w:p w:rsidR="00E52267" w:rsidRDefault="00CD228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E52267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0F1E56">
          <w:headerReference w:type="even" r:id="rId6"/>
          <w:headerReference w:type="default" r:id="rId7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0D1DF8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0D1DF8" w:rsidRDefault="000D1DF8" w:rsidP="000D1DF8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 избирательной комиссии</w:t>
      </w:r>
      <w:r>
        <w:rPr>
          <w:sz w:val="24"/>
          <w:szCs w:val="24"/>
        </w:rPr>
        <w:t xml:space="preserve"> 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2A1765">
        <w:rPr>
          <w:sz w:val="24"/>
          <w:szCs w:val="24"/>
        </w:rPr>
        <w:t>22.06.15</w:t>
      </w:r>
      <w:r w:rsidR="00EA36FD">
        <w:rPr>
          <w:sz w:val="24"/>
          <w:szCs w:val="24"/>
        </w:rPr>
        <w:t xml:space="preserve"> г </w:t>
      </w:r>
    </w:p>
    <w:p w:rsidR="00EA36FD" w:rsidRPr="00855116" w:rsidRDefault="00EA36FD" w:rsidP="000D1DF8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D4DB6" w:rsidRPr="00106626">
        <w:rPr>
          <w:bCs/>
          <w:sz w:val="24"/>
          <w:szCs w:val="28"/>
        </w:rPr>
        <w:t>131/1283-3</w:t>
      </w:r>
    </w:p>
    <w:p w:rsidR="000D1DF8" w:rsidRDefault="000D1DF8" w:rsidP="000D1DF8">
      <w:pPr>
        <w:ind w:left="4680"/>
        <w:jc w:val="center"/>
      </w:pPr>
    </w:p>
    <w:p w:rsidR="000D1DF8" w:rsidRDefault="000D1DF8" w:rsidP="000D1D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2A1765" w:rsidRPr="004E59E1">
        <w:rPr>
          <w:sz w:val="28"/>
          <w:szCs w:val="28"/>
        </w:rPr>
        <w:t>Совета депутатов городского поселения поселок Новозавидовский че</w:t>
      </w:r>
      <w:r w:rsidR="002A1765" w:rsidRPr="004E59E1">
        <w:rPr>
          <w:sz w:val="28"/>
          <w:szCs w:val="28"/>
        </w:rPr>
        <w:t>т</w:t>
      </w:r>
      <w:r w:rsidR="002A1765" w:rsidRPr="004E59E1">
        <w:rPr>
          <w:sz w:val="28"/>
          <w:szCs w:val="28"/>
        </w:rPr>
        <w:t>вертого созыва, депутаты Собрания депутатов Конаковского района пятого созыва, депутаты Совета депутатов Городе</w:t>
      </w:r>
      <w:r w:rsidR="002A1765" w:rsidRPr="004E59E1">
        <w:rPr>
          <w:sz w:val="28"/>
          <w:szCs w:val="28"/>
        </w:rPr>
        <w:t>н</w:t>
      </w:r>
      <w:r w:rsidR="002A1765" w:rsidRPr="004E59E1">
        <w:rPr>
          <w:sz w:val="28"/>
          <w:szCs w:val="28"/>
        </w:rPr>
        <w:t>ского сельского поселения третьего созыва</w:t>
      </w:r>
      <w:r w:rsidRPr="00166F92">
        <w:rPr>
          <w:bCs/>
          <w:sz w:val="28"/>
          <w:szCs w:val="28"/>
        </w:rPr>
        <w:t>, 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</w:t>
      </w:r>
      <w:r w:rsidRPr="009669BA">
        <w:rPr>
          <w:bCs/>
          <w:sz w:val="28"/>
          <w:szCs w:val="28"/>
        </w:rPr>
        <w:t>з</w:t>
      </w:r>
      <w:r w:rsidRPr="009669BA">
        <w:rPr>
          <w:bCs/>
          <w:sz w:val="28"/>
          <w:szCs w:val="28"/>
        </w:rPr>
        <w:t>бирателей</w:t>
      </w:r>
    </w:p>
    <w:p w:rsidR="000D1DF8" w:rsidRDefault="000D1DF8" w:rsidP="000D1DF8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0D1DF8" w:rsidRPr="002C304F">
        <w:tc>
          <w:tcPr>
            <w:tcW w:w="568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№</w:t>
            </w:r>
          </w:p>
          <w:p w:rsidR="000D1DF8" w:rsidRPr="002C304F" w:rsidRDefault="000D1DF8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0D1DF8" w:rsidRPr="002C304F" w:rsidRDefault="000D1DF8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0D1DF8" w:rsidRPr="002C304F" w:rsidRDefault="000D1DF8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Принадле</w:t>
            </w:r>
            <w:r w:rsidRPr="002C304F">
              <w:t>ж</w:t>
            </w:r>
            <w:r w:rsidRPr="002C304F">
              <w:t>ность к общ</w:t>
            </w:r>
            <w:r w:rsidRPr="002C304F">
              <w:t>е</w:t>
            </w:r>
            <w:r w:rsidRPr="002C304F">
              <w:t>ственному об</w:t>
            </w:r>
            <w:r w:rsidRPr="002C304F">
              <w:t>ъ</w:t>
            </w:r>
            <w:r w:rsidRPr="002C304F">
              <w:t>единению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0D1DF8" w:rsidRPr="00E55543" w:rsidRDefault="000D1DF8" w:rsidP="00470512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канд</w:t>
            </w:r>
            <w:r w:rsidRPr="00E55543">
              <w:t>и</w:t>
            </w:r>
            <w:r w:rsidRPr="00E55543">
              <w:t>дат и по как</w:t>
            </w:r>
            <w:r w:rsidRPr="00E55543">
              <w:t>о</w:t>
            </w:r>
            <w:r w:rsidRPr="00E55543">
              <w:t>му избирател</w:t>
            </w:r>
            <w:r w:rsidRPr="00E55543">
              <w:t>ь</w:t>
            </w:r>
            <w:r w:rsidRPr="00E55543">
              <w:t>ному округу</w:t>
            </w:r>
            <w:r>
              <w:rPr>
                <w:rStyle w:val="ac"/>
              </w:rPr>
              <w:footnoteReference w:id="4"/>
            </w:r>
          </w:p>
        </w:tc>
      </w:tr>
      <w:tr w:rsidR="000D1DF8" w:rsidRPr="002C304F">
        <w:tc>
          <w:tcPr>
            <w:tcW w:w="568" w:type="dxa"/>
          </w:tcPr>
          <w:p w:rsidR="000D1DF8" w:rsidRPr="002C304F" w:rsidRDefault="000D1DF8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0D1DF8" w:rsidRPr="002C304F" w:rsidRDefault="000D1DF8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0D1DF8" w:rsidRPr="002C304F" w:rsidRDefault="000D1DF8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0D1DF8" w:rsidRPr="002C304F" w:rsidRDefault="000D1DF8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0D1DF8" w:rsidRPr="002C304F" w:rsidRDefault="000D1DF8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0D1DF8" w:rsidRPr="002C304F" w:rsidRDefault="000D1DF8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>
              <w:t>11</w:t>
            </w:r>
          </w:p>
        </w:tc>
      </w:tr>
      <w:tr w:rsidR="000D1DF8" w:rsidRPr="002C304F">
        <w:tc>
          <w:tcPr>
            <w:tcW w:w="568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276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275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134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701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843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</w:tr>
    </w:tbl>
    <w:p w:rsidR="000D1DF8" w:rsidRDefault="000D1DF8" w:rsidP="000D1DF8">
      <w:pPr>
        <w:jc w:val="center"/>
        <w:rPr>
          <w:bCs/>
          <w:sz w:val="28"/>
          <w:szCs w:val="28"/>
        </w:rPr>
      </w:pPr>
    </w:p>
    <w:p w:rsidR="000D1DF8" w:rsidRDefault="000D1DF8" w:rsidP="000D1DF8">
      <w:pPr>
        <w:jc w:val="both"/>
        <w:rPr>
          <w:sz w:val="28"/>
          <w:szCs w:val="28"/>
        </w:rPr>
        <w:sectPr w:rsidR="000D1DF8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E52267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Конако</w:t>
      </w:r>
      <w:r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Pr="00E52267">
        <w:rPr>
          <w:sz w:val="24"/>
          <w:szCs w:val="24"/>
        </w:rPr>
        <w:t>она</w:t>
      </w:r>
      <w:r w:rsidR="00E52267">
        <w:rPr>
          <w:sz w:val="24"/>
          <w:szCs w:val="24"/>
        </w:rPr>
        <w:t xml:space="preserve"> </w:t>
      </w:r>
      <w:r w:rsidR="002A1765">
        <w:rPr>
          <w:sz w:val="24"/>
          <w:szCs w:val="24"/>
        </w:rPr>
        <w:t>от 22.06.15</w:t>
      </w:r>
      <w:r w:rsidR="006F13CA">
        <w:rPr>
          <w:sz w:val="24"/>
          <w:szCs w:val="24"/>
        </w:rPr>
        <w:t xml:space="preserve"> № </w:t>
      </w:r>
      <w:r w:rsidR="003D4DB6" w:rsidRPr="00106626">
        <w:rPr>
          <w:bCs/>
          <w:sz w:val="24"/>
          <w:szCs w:val="28"/>
        </w:rPr>
        <w:t>131/1283-3</w:t>
      </w:r>
    </w:p>
    <w:p w:rsidR="000D1DF8" w:rsidRPr="00E92730" w:rsidRDefault="000D1DF8" w:rsidP="000D1DF8">
      <w:pPr>
        <w:ind w:left="4680"/>
        <w:jc w:val="right"/>
      </w:pPr>
    </w:p>
    <w:p w:rsidR="000D1DF8" w:rsidRDefault="000D1DF8" w:rsidP="000D1DF8">
      <w:pPr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2A1765" w:rsidRPr="004E59E1">
        <w:rPr>
          <w:sz w:val="28"/>
          <w:szCs w:val="28"/>
        </w:rPr>
        <w:t>Совета депутатов городского поселения поселок Н</w:t>
      </w:r>
      <w:r w:rsidR="002A1765" w:rsidRPr="004E59E1">
        <w:rPr>
          <w:sz w:val="28"/>
          <w:szCs w:val="28"/>
        </w:rPr>
        <w:t>о</w:t>
      </w:r>
      <w:r w:rsidR="002A1765" w:rsidRPr="004E59E1">
        <w:rPr>
          <w:sz w:val="28"/>
          <w:szCs w:val="28"/>
        </w:rPr>
        <w:t>возавидовский четвертого созыва, депутаты Собрания депутатов Конако</w:t>
      </w:r>
      <w:r w:rsidR="002A1765" w:rsidRPr="004E59E1">
        <w:rPr>
          <w:sz w:val="28"/>
          <w:szCs w:val="28"/>
        </w:rPr>
        <w:t>в</w:t>
      </w:r>
      <w:r w:rsidR="002A1765" w:rsidRPr="004E59E1">
        <w:rPr>
          <w:sz w:val="28"/>
          <w:szCs w:val="28"/>
        </w:rPr>
        <w:t>ского района пятого созыва, депутаты Совета депутатов Городенского сел</w:t>
      </w:r>
      <w:r w:rsidR="002A1765" w:rsidRPr="004E59E1">
        <w:rPr>
          <w:sz w:val="28"/>
          <w:szCs w:val="28"/>
        </w:rPr>
        <w:t>ь</w:t>
      </w:r>
      <w:r w:rsidR="002A1765" w:rsidRPr="004E59E1">
        <w:rPr>
          <w:sz w:val="28"/>
          <w:szCs w:val="28"/>
        </w:rPr>
        <w:t>ского поселения третьего созыва</w:t>
      </w:r>
      <w:r w:rsidR="0020178F" w:rsidRPr="0020178F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 xml:space="preserve"> </w:t>
      </w:r>
      <w:r w:rsidR="00E52267" w:rsidRPr="000D1DF8">
        <w:rPr>
          <w:bCs/>
          <w:sz w:val="28"/>
          <w:szCs w:val="28"/>
        </w:rPr>
        <w:t>и</w:t>
      </w:r>
      <w:r w:rsidR="00384905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</w:t>
      </w:r>
      <w:r w:rsidRPr="00166F92">
        <w:rPr>
          <w:sz w:val="28"/>
          <w:szCs w:val="28"/>
        </w:rPr>
        <w:t>о</w:t>
      </w:r>
      <w:r w:rsidRPr="00166F92">
        <w:rPr>
          <w:sz w:val="28"/>
          <w:szCs w:val="28"/>
        </w:rPr>
        <w:t>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 и опублик</w:t>
      </w:r>
      <w:r w:rsidRPr="00800151">
        <w:rPr>
          <w:sz w:val="28"/>
          <w:szCs w:val="28"/>
        </w:rPr>
        <w:t>о</w:t>
      </w:r>
      <w:r w:rsidRPr="00800151">
        <w:rPr>
          <w:sz w:val="28"/>
          <w:szCs w:val="28"/>
        </w:rPr>
        <w:t>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E52267">
      <w:pPr>
        <w:ind w:firstLine="709"/>
        <w:jc w:val="center"/>
        <w:rPr>
          <w:sz w:val="24"/>
          <w:szCs w:val="24"/>
        </w:rPr>
      </w:pPr>
      <w:r>
        <w:rPr>
          <w:sz w:val="18"/>
        </w:rPr>
        <w:lastRenderedPageBreak/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E52267">
      <w:pPr>
        <w:ind w:left="4680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E52267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6F13CA" w:rsidRDefault="00E52267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2A1765">
        <w:rPr>
          <w:sz w:val="24"/>
          <w:szCs w:val="24"/>
        </w:rPr>
        <w:t>от 22.06.15</w:t>
      </w:r>
      <w:r w:rsidR="006F13CA">
        <w:rPr>
          <w:sz w:val="24"/>
          <w:szCs w:val="24"/>
        </w:rPr>
        <w:t xml:space="preserve"> </w:t>
      </w:r>
    </w:p>
    <w:p w:rsidR="000D1DF8" w:rsidRPr="00855116" w:rsidRDefault="006F13CA" w:rsidP="00E52267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D4DB6" w:rsidRPr="00106626">
        <w:rPr>
          <w:bCs/>
          <w:sz w:val="24"/>
          <w:szCs w:val="28"/>
        </w:rPr>
        <w:t>131/1283-3</w:t>
      </w:r>
    </w:p>
    <w:p w:rsidR="000D1DF8" w:rsidRPr="00800151" w:rsidRDefault="000D1DF8" w:rsidP="000D1DF8">
      <w:pPr>
        <w:spacing w:before="360" w:after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2A1765" w:rsidRPr="004E59E1">
        <w:rPr>
          <w:sz w:val="28"/>
          <w:szCs w:val="28"/>
        </w:rPr>
        <w:t>Совета депутатов г</w:t>
      </w:r>
      <w:r w:rsidR="002A1765" w:rsidRPr="004E59E1">
        <w:rPr>
          <w:sz w:val="28"/>
          <w:szCs w:val="28"/>
        </w:rPr>
        <w:t>о</w:t>
      </w:r>
      <w:r w:rsidR="002A1765" w:rsidRPr="004E59E1">
        <w:rPr>
          <w:sz w:val="28"/>
          <w:szCs w:val="28"/>
        </w:rPr>
        <w:t>родского поселения поселок Новозавидовский четвертого созыва, депутаты Собрания депутатов Конаковского района пятого созыва, депутаты Совета депутатов Городенского сельского поселения третьего созыва</w:t>
      </w:r>
      <w:r w:rsidRPr="00800151">
        <w:rPr>
          <w:sz w:val="28"/>
          <w:szCs w:val="28"/>
        </w:rPr>
        <w:t>, размещаемых на информационном стенде в помещении для голосования либо непосредс</w:t>
      </w:r>
      <w:r w:rsidRPr="00800151">
        <w:rPr>
          <w:sz w:val="28"/>
          <w:szCs w:val="28"/>
        </w:rPr>
        <w:t>т</w:t>
      </w:r>
      <w:r w:rsidRPr="00800151">
        <w:rPr>
          <w:sz w:val="28"/>
          <w:szCs w:val="28"/>
        </w:rPr>
        <w:t>венно перед указанным помещением</w:t>
      </w: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787A79" w:rsidRDefault="00787A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E09D3">
        <w:rPr>
          <w:sz w:val="28"/>
          <w:szCs w:val="28"/>
        </w:rPr>
        <w:t>сведения о судимости о</w:t>
      </w:r>
      <w:r>
        <w:rPr>
          <w:sz w:val="28"/>
          <w:szCs w:val="28"/>
        </w:rPr>
        <w:t xml:space="preserve"> кандидата, а если судимость снята или пог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шена, - также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14437D" w:rsidRDefault="000D1DF8" w:rsidP="00787A79">
      <w:pPr>
        <w:pStyle w:val="a5"/>
        <w:ind w:firstLine="708"/>
        <w:sectPr w:rsidR="0014437D" w:rsidSect="006F13CA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 w:rsidRPr="00BE0646">
        <w:t>Предельный объем биографических данных кандидата не должен превышать площадь одного печатного листа формата А4.иографические данные кандидатов должны быть напечатаны одинаковым шрифтом через полтора интервала.</w:t>
      </w:r>
    </w:p>
    <w:p w:rsidR="0014437D" w:rsidRDefault="0014437D" w:rsidP="00787A79">
      <w:pPr>
        <w:pStyle w:val="a5"/>
        <w:ind w:firstLine="708"/>
      </w:pPr>
    </w:p>
    <w:p w:rsidR="006A3E04" w:rsidRDefault="006A3E04" w:rsidP="0014437D"/>
    <w:p w:rsidR="00CD2289" w:rsidRPr="00855116" w:rsidRDefault="00CD2289" w:rsidP="00CD2289">
      <w:pPr>
        <w:ind w:firstLine="709"/>
        <w:jc w:val="center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D2289" w:rsidRDefault="00CD2289" w:rsidP="00CD2289">
      <w:pPr>
        <w:ind w:left="4680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CD2289" w:rsidRPr="00855116" w:rsidRDefault="00CD2289" w:rsidP="00CD2289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 избирательной комиссии</w:t>
      </w:r>
    </w:p>
    <w:p w:rsidR="00CD2289" w:rsidRDefault="00CD2289" w:rsidP="00CD2289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Конаковского </w:t>
      </w:r>
      <w:r w:rsidRPr="00855116">
        <w:rPr>
          <w:sz w:val="24"/>
          <w:szCs w:val="24"/>
        </w:rPr>
        <w:t xml:space="preserve"> района</w:t>
      </w:r>
      <w:r w:rsidRPr="006F1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22.06.15 </w:t>
      </w:r>
    </w:p>
    <w:p w:rsidR="00CD2289" w:rsidRDefault="00CD2289" w:rsidP="00CD2289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D4DB6" w:rsidRPr="00106626">
        <w:rPr>
          <w:bCs/>
          <w:sz w:val="24"/>
          <w:szCs w:val="28"/>
        </w:rPr>
        <w:t>131/1283-3</w:t>
      </w:r>
    </w:p>
    <w:p w:rsidR="0014437D" w:rsidRDefault="0014437D" w:rsidP="00CD2289">
      <w:pPr>
        <w:ind w:left="4680"/>
        <w:jc w:val="center"/>
        <w:rPr>
          <w:sz w:val="24"/>
          <w:szCs w:val="24"/>
        </w:rPr>
      </w:pPr>
    </w:p>
    <w:p w:rsidR="0014437D" w:rsidRDefault="0014437D" w:rsidP="00CD2289">
      <w:pPr>
        <w:ind w:left="4680"/>
        <w:jc w:val="center"/>
        <w:rPr>
          <w:sz w:val="24"/>
          <w:szCs w:val="24"/>
        </w:rPr>
      </w:pPr>
    </w:p>
    <w:p w:rsidR="0014437D" w:rsidRDefault="0014437D" w:rsidP="0014437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Форма и объем сведений о доходах и об имуществе кандидатов в депутаты Собрания депутатов Конаковского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она пятого созыва, </w:t>
      </w:r>
      <w:r w:rsidRPr="0014437D">
        <w:rPr>
          <w:b/>
          <w:sz w:val="28"/>
          <w:szCs w:val="28"/>
        </w:rPr>
        <w:t>размещаемых на информационном стенде в помещении для голосования либо непосредственно перед указанным помещением</w:t>
      </w:r>
    </w:p>
    <w:p w:rsidR="0014437D" w:rsidRPr="00855116" w:rsidRDefault="0014437D" w:rsidP="00CD2289">
      <w:pPr>
        <w:ind w:left="4680"/>
        <w:jc w:val="center"/>
        <w:rPr>
          <w:sz w:val="24"/>
          <w:szCs w:val="24"/>
        </w:rPr>
      </w:pPr>
    </w:p>
    <w:p w:rsidR="00CD2289" w:rsidRDefault="00CD2289" w:rsidP="00787A79">
      <w:pPr>
        <w:pStyle w:val="a5"/>
        <w:ind w:firstLine="708"/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14437D" w:rsidRPr="006B2ED0" w:rsidTr="0022345C">
        <w:trPr>
          <w:cantSplit/>
        </w:trPr>
        <w:tc>
          <w:tcPr>
            <w:tcW w:w="1286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Фами</w:t>
            </w:r>
            <w:r w:rsidRPr="006B2ED0">
              <w:rPr>
                <w:sz w:val="18"/>
                <w:szCs w:val="18"/>
              </w:rPr>
              <w:softHyphen/>
              <w:t>лия, имя</w:t>
            </w:r>
            <w:r w:rsidRPr="0014437D">
              <w:rPr>
                <w:sz w:val="18"/>
                <w:szCs w:val="18"/>
              </w:rPr>
              <w:br/>
            </w:r>
            <w:r w:rsidRPr="006B2ED0">
              <w:rPr>
                <w:sz w:val="18"/>
                <w:szCs w:val="18"/>
              </w:rPr>
              <w:t>и от</w:t>
            </w:r>
            <w:r w:rsidRPr="006B2ED0">
              <w:rPr>
                <w:sz w:val="18"/>
                <w:szCs w:val="18"/>
              </w:rPr>
              <w:softHyphen/>
              <w:t>чест</w:t>
            </w:r>
            <w:r w:rsidRPr="006B2ED0"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t xml:space="preserve"> 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дидата</w:t>
            </w:r>
          </w:p>
        </w:tc>
        <w:tc>
          <w:tcPr>
            <w:tcW w:w="1069" w:type="dxa"/>
            <w:vMerge w:val="restart"/>
            <w:vAlign w:val="center"/>
          </w:tcPr>
          <w:p w:rsidR="0014437D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До</w:t>
            </w:r>
            <w:r w:rsidRPr="006B2ED0">
              <w:rPr>
                <w:sz w:val="18"/>
                <w:szCs w:val="18"/>
              </w:rPr>
              <w:softHyphen/>
              <w:t>хо</w:t>
            </w:r>
            <w:r w:rsidRPr="006B2ED0">
              <w:rPr>
                <w:sz w:val="18"/>
                <w:szCs w:val="18"/>
              </w:rPr>
              <w:softHyphen/>
              <w:t xml:space="preserve">ды </w:t>
            </w:r>
          </w:p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2014 год</w:t>
            </w:r>
          </w:p>
        </w:tc>
        <w:tc>
          <w:tcPr>
            <w:tcW w:w="8158" w:type="dxa"/>
            <w:gridSpan w:val="7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Иму</w:t>
            </w:r>
            <w:r w:rsidRPr="006B2ED0">
              <w:rPr>
                <w:sz w:val="18"/>
                <w:szCs w:val="18"/>
              </w:rPr>
              <w:softHyphen/>
              <w:t>щест</w:t>
            </w:r>
            <w:r w:rsidRPr="006B2ED0"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t xml:space="preserve"> (по состоянию на 01 июля 2015 года)</w:t>
            </w:r>
          </w:p>
        </w:tc>
        <w:tc>
          <w:tcPr>
            <w:tcW w:w="1370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Де</w:t>
            </w:r>
            <w:r w:rsidRPr="006B2ED0">
              <w:rPr>
                <w:sz w:val="18"/>
                <w:szCs w:val="18"/>
              </w:rPr>
              <w:softHyphen/>
              <w:t>неж</w:t>
            </w:r>
            <w:r w:rsidRPr="006B2ED0">
              <w:rPr>
                <w:sz w:val="18"/>
                <w:szCs w:val="18"/>
              </w:rPr>
              <w:softHyphen/>
              <w:t>ные сред</w:t>
            </w:r>
            <w:r w:rsidRPr="006B2ED0">
              <w:rPr>
                <w:sz w:val="18"/>
                <w:szCs w:val="18"/>
              </w:rPr>
              <w:softHyphen/>
              <w:t>ства, нахо</w:t>
            </w:r>
            <w:r w:rsidRPr="006B2ED0">
              <w:rPr>
                <w:sz w:val="18"/>
                <w:szCs w:val="18"/>
              </w:rPr>
              <w:softHyphen/>
              <w:t>дящи</w:t>
            </w:r>
            <w:r w:rsidRPr="006B2ED0">
              <w:rPr>
                <w:sz w:val="18"/>
                <w:szCs w:val="18"/>
              </w:rPr>
              <w:softHyphen/>
              <w:t>еся на сче</w:t>
            </w:r>
            <w:r w:rsidRPr="006B2ED0">
              <w:rPr>
                <w:sz w:val="18"/>
                <w:szCs w:val="18"/>
              </w:rPr>
              <w:softHyphen/>
              <w:t>тах в бан</w:t>
            </w:r>
            <w:r w:rsidRPr="006B2ED0"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Ак</w:t>
            </w:r>
            <w:r w:rsidRPr="006B2ED0">
              <w:rPr>
                <w:sz w:val="18"/>
                <w:szCs w:val="18"/>
              </w:rPr>
              <w:softHyphen/>
              <w:t>ции и иное учас</w:t>
            </w:r>
            <w:r w:rsidRPr="006B2ED0">
              <w:rPr>
                <w:sz w:val="18"/>
                <w:szCs w:val="18"/>
              </w:rPr>
              <w:softHyphen/>
              <w:t>тие в ком</w:t>
            </w:r>
            <w:r w:rsidRPr="006B2ED0">
              <w:rPr>
                <w:sz w:val="18"/>
                <w:szCs w:val="18"/>
              </w:rPr>
              <w:softHyphen/>
              <w:t>мер</w:t>
            </w:r>
            <w:r w:rsidRPr="006B2ED0">
              <w:rPr>
                <w:sz w:val="18"/>
                <w:szCs w:val="18"/>
              </w:rPr>
              <w:softHyphen/>
              <w:t>чес</w:t>
            </w:r>
            <w:r w:rsidRPr="006B2ED0">
              <w:rPr>
                <w:sz w:val="18"/>
                <w:szCs w:val="18"/>
              </w:rPr>
              <w:softHyphen/>
              <w:t>ких орга</w:t>
            </w:r>
            <w:r w:rsidRPr="006B2ED0">
              <w:rPr>
                <w:sz w:val="18"/>
                <w:szCs w:val="18"/>
              </w:rPr>
              <w:softHyphen/>
              <w:t>низа</w:t>
            </w:r>
            <w:r w:rsidRPr="006B2ED0"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Иные цен</w:t>
            </w:r>
            <w:r w:rsidRPr="006B2ED0">
              <w:rPr>
                <w:sz w:val="18"/>
                <w:szCs w:val="18"/>
              </w:rPr>
              <w:softHyphen/>
              <w:t>ные бума</w:t>
            </w:r>
            <w:r w:rsidRPr="006B2ED0">
              <w:rPr>
                <w:sz w:val="18"/>
                <w:szCs w:val="18"/>
              </w:rPr>
              <w:softHyphen/>
              <w:t>ги</w:t>
            </w:r>
          </w:p>
        </w:tc>
      </w:tr>
      <w:tr w:rsidR="0014437D" w:rsidRPr="006B2ED0" w:rsidTr="0022345C">
        <w:trPr>
          <w:cantSplit/>
        </w:trPr>
        <w:tc>
          <w:tcPr>
            <w:tcW w:w="1286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Недви</w:t>
            </w:r>
            <w:r w:rsidRPr="006B2ED0">
              <w:rPr>
                <w:sz w:val="18"/>
                <w:szCs w:val="18"/>
              </w:rPr>
              <w:softHyphen/>
              <w:t>жи</w:t>
            </w:r>
            <w:r w:rsidRPr="006B2ED0">
              <w:rPr>
                <w:sz w:val="18"/>
                <w:szCs w:val="18"/>
              </w:rPr>
              <w:softHyphen/>
              <w:t>мое иму</w:t>
            </w:r>
            <w:r w:rsidRPr="006B2ED0">
              <w:rPr>
                <w:sz w:val="18"/>
                <w:szCs w:val="18"/>
              </w:rPr>
              <w:softHyphen/>
              <w:t>щест</w:t>
            </w:r>
            <w:r w:rsidRPr="006B2ED0">
              <w:rPr>
                <w:sz w:val="18"/>
                <w:szCs w:val="18"/>
              </w:rPr>
              <w:softHyphen/>
              <w:t>во</w:t>
            </w:r>
            <w:r>
              <w:rPr>
                <w:rStyle w:val="ac"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Тран</w:t>
            </w:r>
            <w:r w:rsidRPr="006B2ED0">
              <w:rPr>
                <w:sz w:val="18"/>
                <w:szCs w:val="18"/>
              </w:rPr>
              <w:softHyphen/>
              <w:t>спорт</w:t>
            </w:r>
            <w:r w:rsidRPr="006B2ED0">
              <w:rPr>
                <w:sz w:val="18"/>
                <w:szCs w:val="18"/>
              </w:rPr>
              <w:softHyphen/>
              <w:t>ные сред</w:t>
            </w:r>
            <w:r w:rsidRPr="006B2ED0"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</w:tr>
      <w:tr w:rsidR="0014437D" w:rsidRPr="006B2ED0" w:rsidTr="0022345C">
        <w:trPr>
          <w:cantSplit/>
        </w:trPr>
        <w:tc>
          <w:tcPr>
            <w:tcW w:w="1286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Источ</w:t>
            </w:r>
            <w:r w:rsidRPr="006B2ED0">
              <w:rPr>
                <w:sz w:val="18"/>
                <w:szCs w:val="18"/>
              </w:rPr>
              <w:softHyphen/>
              <w:t>ник вып</w:t>
            </w:r>
            <w:r w:rsidRPr="006B2ED0">
              <w:rPr>
                <w:sz w:val="18"/>
                <w:szCs w:val="18"/>
              </w:rPr>
              <w:softHyphen/>
              <w:t>латы до</w:t>
            </w:r>
            <w:r w:rsidRPr="006B2ED0">
              <w:rPr>
                <w:sz w:val="18"/>
                <w:szCs w:val="18"/>
              </w:rPr>
              <w:softHyphen/>
              <w:t>хода, сум</w:t>
            </w:r>
            <w:r w:rsidRPr="006B2ED0">
              <w:rPr>
                <w:sz w:val="18"/>
                <w:szCs w:val="18"/>
              </w:rPr>
              <w:softHyphen/>
              <w:t>ма</w:t>
            </w:r>
            <w:r w:rsidRPr="006B2ED0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70" w:type="dxa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Зе</w:t>
            </w:r>
            <w:r w:rsidRPr="006B2ED0">
              <w:rPr>
                <w:sz w:val="18"/>
                <w:szCs w:val="18"/>
              </w:rPr>
              <w:softHyphen/>
              <w:t>мель</w:t>
            </w:r>
            <w:r w:rsidRPr="006B2ED0">
              <w:rPr>
                <w:sz w:val="18"/>
                <w:szCs w:val="18"/>
              </w:rPr>
              <w:softHyphen/>
              <w:t>ные участ</w:t>
            </w:r>
            <w:r w:rsidRPr="006B2ED0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Жи</w:t>
            </w:r>
            <w:r w:rsidRPr="006B2ED0">
              <w:rPr>
                <w:sz w:val="18"/>
                <w:szCs w:val="18"/>
              </w:rPr>
              <w:softHyphen/>
              <w:t>лые до</w:t>
            </w:r>
            <w:r w:rsidRPr="006B2ED0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Квар</w:t>
            </w:r>
            <w:r w:rsidRPr="006B2ED0">
              <w:rPr>
                <w:sz w:val="18"/>
                <w:szCs w:val="18"/>
              </w:rPr>
              <w:softHyphen/>
              <w:t>ти</w:t>
            </w:r>
            <w:r w:rsidRPr="006B2ED0"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Да</w:t>
            </w:r>
            <w:r w:rsidRPr="006B2ED0"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Га</w:t>
            </w:r>
            <w:r w:rsidRPr="006B2ED0">
              <w:rPr>
                <w:sz w:val="18"/>
                <w:szCs w:val="18"/>
              </w:rPr>
              <w:softHyphen/>
              <w:t>ра</w:t>
            </w:r>
            <w:r w:rsidRPr="006B2ED0"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Иное недви</w:t>
            </w:r>
            <w:r w:rsidRPr="006B2ED0">
              <w:rPr>
                <w:sz w:val="18"/>
                <w:szCs w:val="18"/>
              </w:rPr>
              <w:softHyphen/>
              <w:t>жи</w:t>
            </w:r>
            <w:r w:rsidRPr="006B2ED0">
              <w:rPr>
                <w:sz w:val="18"/>
                <w:szCs w:val="18"/>
              </w:rPr>
              <w:softHyphen/>
              <w:t>мое иму</w:t>
            </w:r>
            <w:r w:rsidRPr="006B2ED0">
              <w:rPr>
                <w:sz w:val="18"/>
                <w:szCs w:val="18"/>
              </w:rPr>
              <w:softHyphen/>
              <w:t>щест</w:t>
            </w:r>
            <w:r w:rsidRPr="006B2ED0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B2ED0">
              <w:rPr>
                <w:sz w:val="18"/>
                <w:szCs w:val="18"/>
              </w:rPr>
              <w:t>ар</w:t>
            </w:r>
            <w:r w:rsidRPr="006B2ED0">
              <w:rPr>
                <w:sz w:val="18"/>
                <w:szCs w:val="18"/>
              </w:rPr>
              <w:softHyphen/>
              <w:t>ка, мо</w:t>
            </w:r>
            <w:r w:rsidRPr="006B2ED0">
              <w:rPr>
                <w:sz w:val="18"/>
                <w:szCs w:val="18"/>
              </w:rPr>
              <w:softHyphen/>
              <w:t>дель, год вы</w:t>
            </w:r>
            <w:r w:rsidRPr="006B2ED0">
              <w:rPr>
                <w:sz w:val="18"/>
                <w:szCs w:val="18"/>
              </w:rPr>
              <w:softHyphen/>
              <w:t>пус</w:t>
            </w:r>
            <w:r w:rsidRPr="006B2ED0"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14437D" w:rsidRDefault="0014437D" w:rsidP="0022345C">
            <w:pPr>
              <w:autoSpaceDE w:val="0"/>
              <w:autoSpaceDN w:val="0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указывается количество ба</w:t>
            </w:r>
            <w:r>
              <w:rPr>
                <w:rFonts w:eastAsia="Calibri"/>
                <w:sz w:val="18"/>
                <w:szCs w:val="18"/>
              </w:rPr>
              <w:t>н</w:t>
            </w:r>
            <w:r>
              <w:rPr>
                <w:rFonts w:eastAsia="Calibri"/>
                <w:sz w:val="18"/>
                <w:szCs w:val="18"/>
              </w:rPr>
              <w:t>ковских счетов и общая сумма остатков на них в рублях</w:t>
            </w:r>
          </w:p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Наиме</w:t>
            </w:r>
            <w:r w:rsidRPr="006B2ED0">
              <w:rPr>
                <w:sz w:val="18"/>
                <w:szCs w:val="18"/>
              </w:rPr>
              <w:softHyphen/>
              <w:t>нова</w:t>
            </w:r>
            <w:r w:rsidRPr="006B2ED0">
              <w:rPr>
                <w:sz w:val="18"/>
                <w:szCs w:val="18"/>
              </w:rPr>
              <w:softHyphen/>
              <w:t>ние и орга</w:t>
            </w:r>
            <w:r w:rsidRPr="006B2ED0">
              <w:rPr>
                <w:sz w:val="18"/>
                <w:szCs w:val="18"/>
              </w:rPr>
              <w:softHyphen/>
              <w:t>низа</w:t>
            </w:r>
            <w:r w:rsidRPr="006B2ED0">
              <w:rPr>
                <w:sz w:val="18"/>
                <w:szCs w:val="18"/>
              </w:rPr>
              <w:softHyphen/>
              <w:t>цион</w:t>
            </w:r>
            <w:r w:rsidRPr="006B2ED0">
              <w:rPr>
                <w:sz w:val="18"/>
                <w:szCs w:val="18"/>
              </w:rPr>
              <w:softHyphen/>
              <w:t>но-пра</w:t>
            </w:r>
            <w:r w:rsidRPr="006B2ED0">
              <w:rPr>
                <w:sz w:val="18"/>
                <w:szCs w:val="18"/>
              </w:rPr>
              <w:softHyphen/>
              <w:t>во</w:t>
            </w:r>
            <w:r w:rsidRPr="006B2ED0">
              <w:rPr>
                <w:sz w:val="18"/>
                <w:szCs w:val="18"/>
              </w:rPr>
              <w:softHyphen/>
              <w:t>вая фор</w:t>
            </w:r>
            <w:r w:rsidRPr="006B2ED0">
              <w:rPr>
                <w:sz w:val="18"/>
                <w:szCs w:val="18"/>
              </w:rPr>
              <w:softHyphen/>
              <w:t>ма орга</w:t>
            </w:r>
            <w:r w:rsidRPr="006B2ED0">
              <w:rPr>
                <w:sz w:val="18"/>
                <w:szCs w:val="18"/>
              </w:rPr>
              <w:softHyphen/>
              <w:t>низа</w:t>
            </w:r>
            <w:r w:rsidRPr="006B2ED0">
              <w:rPr>
                <w:sz w:val="18"/>
                <w:szCs w:val="18"/>
              </w:rPr>
              <w:softHyphen/>
              <w:t>ции,  доля учас</w:t>
            </w:r>
            <w:r w:rsidRPr="006B2ED0">
              <w:rPr>
                <w:sz w:val="18"/>
                <w:szCs w:val="18"/>
              </w:rPr>
              <w:softHyphen/>
              <w:t>тия (%)</w:t>
            </w:r>
          </w:p>
        </w:tc>
        <w:tc>
          <w:tcPr>
            <w:tcW w:w="1371" w:type="dxa"/>
            <w:vMerge w:val="restart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Вид цен</w:t>
            </w:r>
            <w:r w:rsidRPr="006B2ED0">
              <w:rPr>
                <w:sz w:val="18"/>
                <w:szCs w:val="18"/>
              </w:rPr>
              <w:softHyphen/>
              <w:t>ной бу</w:t>
            </w:r>
            <w:r w:rsidRPr="006B2ED0">
              <w:rPr>
                <w:sz w:val="18"/>
                <w:szCs w:val="18"/>
              </w:rPr>
              <w:softHyphen/>
              <w:t>маги</w:t>
            </w:r>
            <w:r>
              <w:rPr>
                <w:sz w:val="18"/>
                <w:szCs w:val="18"/>
              </w:rPr>
              <w:t xml:space="preserve">, </w:t>
            </w:r>
            <w:r w:rsidRPr="006B2ED0">
              <w:rPr>
                <w:sz w:val="18"/>
                <w:szCs w:val="18"/>
              </w:rPr>
              <w:t>об</w:t>
            </w:r>
            <w:r w:rsidRPr="006B2ED0">
              <w:rPr>
                <w:sz w:val="18"/>
                <w:szCs w:val="18"/>
              </w:rPr>
              <w:softHyphen/>
              <w:t>щая сто</w:t>
            </w:r>
            <w:r w:rsidRPr="006B2ED0">
              <w:rPr>
                <w:sz w:val="18"/>
                <w:szCs w:val="18"/>
              </w:rPr>
              <w:softHyphen/>
              <w:t>и</w:t>
            </w:r>
            <w:r w:rsidRPr="006B2ED0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14437D" w:rsidRPr="006B2ED0" w:rsidTr="0022345C">
        <w:trPr>
          <w:cantSplit/>
        </w:trPr>
        <w:tc>
          <w:tcPr>
            <w:tcW w:w="1286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 w:rsidRPr="006B2ED0">
              <w:rPr>
                <w:sz w:val="18"/>
                <w:szCs w:val="18"/>
              </w:rPr>
              <w:t>, об</w:t>
            </w:r>
            <w:r w:rsidRPr="006B2ED0">
              <w:rPr>
                <w:sz w:val="18"/>
                <w:szCs w:val="18"/>
              </w:rPr>
              <w:softHyphen/>
              <w:t>щая пло</w:t>
            </w:r>
            <w:r w:rsidRPr="006B2ED0">
              <w:rPr>
                <w:sz w:val="18"/>
                <w:szCs w:val="18"/>
              </w:rPr>
              <w:softHyphen/>
              <w:t>щадь</w:t>
            </w:r>
            <w:r w:rsidRPr="006B2ED0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Мес</w:t>
            </w:r>
            <w:r w:rsidRPr="006B2ED0">
              <w:rPr>
                <w:sz w:val="18"/>
                <w:szCs w:val="18"/>
              </w:rPr>
              <w:softHyphen/>
              <w:t>то нахож</w:t>
            </w:r>
            <w:r w:rsidRPr="006B2ED0">
              <w:rPr>
                <w:sz w:val="18"/>
                <w:szCs w:val="18"/>
              </w:rPr>
              <w:softHyphen/>
              <w:t>де</w:t>
            </w:r>
            <w:r w:rsidRPr="006B2ED0">
              <w:rPr>
                <w:sz w:val="18"/>
                <w:szCs w:val="18"/>
              </w:rPr>
              <w:softHyphen/>
              <w:t>ния, об</w:t>
            </w:r>
            <w:r w:rsidRPr="006B2ED0">
              <w:rPr>
                <w:sz w:val="18"/>
                <w:szCs w:val="18"/>
              </w:rPr>
              <w:softHyphen/>
              <w:t>щая пло</w:t>
            </w:r>
            <w:r w:rsidRPr="006B2ED0">
              <w:rPr>
                <w:sz w:val="18"/>
                <w:szCs w:val="18"/>
              </w:rPr>
              <w:softHyphen/>
              <w:t>щадь</w:t>
            </w:r>
            <w:r w:rsidRPr="006B2ED0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 w:rsidRPr="006B2ED0">
              <w:rPr>
                <w:sz w:val="18"/>
                <w:szCs w:val="18"/>
              </w:rPr>
              <w:t>, об</w:t>
            </w:r>
            <w:r w:rsidRPr="006B2ED0">
              <w:rPr>
                <w:sz w:val="18"/>
                <w:szCs w:val="18"/>
              </w:rPr>
              <w:softHyphen/>
              <w:t>щая пло</w:t>
            </w:r>
            <w:r w:rsidRPr="006B2ED0">
              <w:rPr>
                <w:sz w:val="18"/>
                <w:szCs w:val="18"/>
              </w:rPr>
              <w:softHyphen/>
              <w:t>щадь</w:t>
            </w:r>
            <w:r w:rsidRPr="006B2ED0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 w:rsidRPr="006B2ED0">
              <w:rPr>
                <w:sz w:val="18"/>
                <w:szCs w:val="18"/>
              </w:rPr>
              <w:t>, об</w:t>
            </w:r>
            <w:r w:rsidRPr="006B2ED0">
              <w:rPr>
                <w:sz w:val="18"/>
                <w:szCs w:val="18"/>
              </w:rPr>
              <w:softHyphen/>
              <w:t>щая пло</w:t>
            </w:r>
            <w:r w:rsidRPr="006B2ED0">
              <w:rPr>
                <w:sz w:val="18"/>
                <w:szCs w:val="18"/>
              </w:rPr>
              <w:softHyphen/>
              <w:t>щадь</w:t>
            </w:r>
            <w:r w:rsidRPr="006B2ED0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 w:rsidRPr="006B2ED0">
              <w:rPr>
                <w:sz w:val="18"/>
                <w:szCs w:val="18"/>
              </w:rPr>
              <w:t>Мес</w:t>
            </w:r>
            <w:r w:rsidRPr="006B2ED0">
              <w:rPr>
                <w:sz w:val="18"/>
                <w:szCs w:val="18"/>
              </w:rPr>
              <w:softHyphen/>
              <w:t>то нахож</w:t>
            </w:r>
            <w:r w:rsidRPr="006B2ED0">
              <w:rPr>
                <w:sz w:val="18"/>
                <w:szCs w:val="18"/>
              </w:rPr>
              <w:softHyphen/>
              <w:t>де</w:t>
            </w:r>
            <w:r w:rsidRPr="006B2ED0">
              <w:rPr>
                <w:sz w:val="18"/>
                <w:szCs w:val="18"/>
              </w:rPr>
              <w:softHyphen/>
              <w:t>ния, об</w:t>
            </w:r>
            <w:r w:rsidRPr="006B2ED0">
              <w:rPr>
                <w:sz w:val="18"/>
                <w:szCs w:val="18"/>
              </w:rPr>
              <w:softHyphen/>
              <w:t>щая пло</w:t>
            </w:r>
            <w:r w:rsidRPr="006B2ED0">
              <w:rPr>
                <w:sz w:val="18"/>
                <w:szCs w:val="18"/>
              </w:rPr>
              <w:softHyphen/>
              <w:t>щадь</w:t>
            </w:r>
            <w:r w:rsidRPr="006B2ED0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ния,</w:t>
            </w:r>
            <w:r w:rsidRPr="006B2ED0">
              <w:rPr>
                <w:sz w:val="18"/>
                <w:szCs w:val="18"/>
              </w:rPr>
              <w:t xml:space="preserve"> об</w:t>
            </w:r>
            <w:r w:rsidRPr="006B2ED0">
              <w:rPr>
                <w:sz w:val="18"/>
                <w:szCs w:val="18"/>
              </w:rPr>
              <w:softHyphen/>
              <w:t>щая пло</w:t>
            </w:r>
            <w:r w:rsidRPr="006B2ED0">
              <w:rPr>
                <w:sz w:val="18"/>
                <w:szCs w:val="18"/>
              </w:rPr>
              <w:softHyphen/>
              <w:t>щадь</w:t>
            </w:r>
            <w:r w:rsidRPr="006B2ED0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</w:tr>
      <w:tr w:rsidR="0014437D" w:rsidRPr="006B2ED0" w:rsidTr="0022345C">
        <w:trPr>
          <w:cantSplit/>
        </w:trPr>
        <w:tc>
          <w:tcPr>
            <w:tcW w:w="1286" w:type="dxa"/>
          </w:tcPr>
          <w:p w:rsidR="0014437D" w:rsidRPr="006B2ED0" w:rsidRDefault="0014437D" w:rsidP="0022345C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437D" w:rsidRPr="006B2ED0" w:rsidRDefault="0014437D" w:rsidP="0022345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14437D" w:rsidRPr="006B2ED0" w:rsidRDefault="0014437D" w:rsidP="002234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2289" w:rsidRDefault="00CD2289" w:rsidP="00787A79">
      <w:pPr>
        <w:pStyle w:val="a5"/>
        <w:ind w:firstLine="708"/>
      </w:pPr>
    </w:p>
    <w:sectPr w:rsidR="00CD2289" w:rsidSect="0014437D">
      <w:pgSz w:w="16838" w:h="11906" w:orient="landscape"/>
      <w:pgMar w:top="851" w:right="89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26" w:rsidRDefault="004F3B26" w:rsidP="000D1DF8">
      <w:r>
        <w:separator/>
      </w:r>
    </w:p>
  </w:endnote>
  <w:endnote w:type="continuationSeparator" w:id="0">
    <w:p w:rsidR="004F3B26" w:rsidRDefault="004F3B26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26" w:rsidRDefault="004F3B26" w:rsidP="000D1DF8">
      <w:r>
        <w:separator/>
      </w:r>
    </w:p>
  </w:footnote>
  <w:footnote w:type="continuationSeparator" w:id="0">
    <w:p w:rsidR="004F3B26" w:rsidRDefault="004F3B26" w:rsidP="000D1DF8">
      <w:r>
        <w:continuationSeparator/>
      </w:r>
    </w:p>
  </w:footnote>
  <w:footnote w:id="1">
    <w:p w:rsidR="00EA36FD" w:rsidRDefault="00EA36FD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EA36FD" w:rsidRDefault="00EA36FD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EA36FD" w:rsidRDefault="00EA36FD" w:rsidP="000D1DF8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EA36FD" w:rsidRDefault="00EA36FD" w:rsidP="000D1DF8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 w:rsidR="002A1765"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  <w:footnote w:id="5">
    <w:p w:rsidR="0014437D" w:rsidRPr="009B07B5" w:rsidRDefault="0014437D" w:rsidP="0014437D">
      <w:pPr>
        <w:pStyle w:val="aa"/>
        <w:rPr>
          <w:sz w:val="18"/>
          <w:szCs w:val="18"/>
        </w:rPr>
      </w:pPr>
      <w:r w:rsidRPr="009B07B5">
        <w:rPr>
          <w:rStyle w:val="ac"/>
          <w:sz w:val="18"/>
          <w:szCs w:val="18"/>
        </w:rPr>
        <w:footnoteRef/>
      </w:r>
      <w:r w:rsidRPr="009B07B5">
        <w:rPr>
          <w:sz w:val="18"/>
          <w:szCs w:val="18"/>
        </w:rPr>
        <w:t xml:space="preserve"> Место нахождение – наименование субъекта РФ района и города или иного населенного пункта</w:t>
      </w:r>
      <w:r>
        <w:rPr>
          <w:sz w:val="18"/>
          <w:szCs w:val="18"/>
        </w:rPr>
        <w:t xml:space="preserve"> или наименование иностранного государства.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BA3962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BA3962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626">
      <w:rPr>
        <w:rStyle w:val="a9"/>
        <w:noProof/>
      </w:rPr>
      <w:t>6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3CA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404F"/>
    <w:rsid w:val="00BA1BF4"/>
    <w:rsid w:val="00BA3962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23B8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2015-06-22T11:40:00Z</cp:lastPrinted>
  <dcterms:created xsi:type="dcterms:W3CDTF">2015-06-19T11:42:00Z</dcterms:created>
  <dcterms:modified xsi:type="dcterms:W3CDTF">2015-06-22T11:52:00Z</dcterms:modified>
</cp:coreProperties>
</file>